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D6577F" w14:textId="77777777" w:rsidR="006F46BF" w:rsidRDefault="00000000">
      <w:pPr>
        <w:pStyle w:val="Heading2"/>
        <w:rPr>
          <w:rFonts w:ascii="Calibri" w:hAnsi="Calibri"/>
          <w:i w:val="0"/>
        </w:rPr>
      </w:pPr>
      <w:r>
        <w:rPr>
          <w:rFonts w:ascii="Calibri" w:hAnsi="Calibri"/>
          <w:i w:val="0"/>
        </w:rPr>
        <w:t>CR-05 - Goals and Outcomes</w:t>
      </w:r>
    </w:p>
    <w:p w14:paraId="63E778B4" w14:textId="77777777" w:rsidR="006F46BF" w:rsidRDefault="00000000">
      <w:pPr>
        <w:keepNext/>
        <w:widowControl w:val="0"/>
        <w:spacing w:after="0" w:line="240" w:lineRule="auto"/>
        <w:rPr>
          <w:b/>
          <w:sz w:val="28"/>
          <w:szCs w:val="28"/>
        </w:rPr>
      </w:pPr>
      <w:r>
        <w:rPr>
          <w:b/>
          <w:sz w:val="24"/>
          <w:szCs w:val="24"/>
        </w:rPr>
        <w:t>Progress the jurisdiction has made in carrying out its strategic plan and its action plan.  91.520(a)</w:t>
      </w:r>
      <w:r>
        <w:rPr>
          <w:b/>
          <w:sz w:val="28"/>
          <w:szCs w:val="28"/>
        </w:rPr>
        <w:t xml:space="preserve"> </w:t>
      </w:r>
    </w:p>
    <w:p w14:paraId="420E7BDD" w14:textId="77777777" w:rsidR="006F46BF" w:rsidRDefault="00000000">
      <w:pPr>
        <w:keepNext/>
        <w:widowControl w:val="0"/>
        <w:spacing w:after="0" w:line="240" w:lineRule="auto"/>
      </w:pPr>
      <w:r>
        <w:t>This could be an overview that includes major initiatives and highlights that were proposed and executed throughout the program year.</w:t>
      </w:r>
    </w:p>
    <w:p w14:paraId="40B2AB65" w14:textId="77777777" w:rsidR="006F46BF" w:rsidRDefault="006F46BF">
      <w:pPr>
        <w:keepNext/>
        <w:widowControl w:val="0"/>
        <w:spacing w:after="0" w:line="240" w:lineRule="auto"/>
        <w:rPr>
          <w:b/>
        </w:rPr>
      </w:pPr>
    </w:p>
    <w:p w14:paraId="216620ED" w14:textId="77777777" w:rsidR="006F46BF" w:rsidRDefault="00000000">
      <w:pPr>
        <w:widowControl w:val="0"/>
        <w:spacing w:beforeAutospacing="1" w:afterAutospacing="1"/>
        <w:rPr>
          <w:szCs w:val="24"/>
        </w:rPr>
      </w:pPr>
      <w:r>
        <w:t>The City concentrated its Community Development efforts in four (4) principal areas: Housing, Economic Development, Public Services, and Public Facility Improvements. Major projects included, but were not limited to, Home Repair Programs, Down-Payment &amp; Closing Cost Assistance, and New (housing) Construction. </w:t>
      </w:r>
    </w:p>
    <w:p w14:paraId="6609F8C4" w14:textId="77777777" w:rsidR="006F46BF" w:rsidRDefault="00000000">
      <w:pPr>
        <w:widowControl w:val="0"/>
        <w:spacing w:beforeAutospacing="1" w:afterAutospacing="1"/>
        <w:rPr>
          <w:szCs w:val="24"/>
        </w:rPr>
      </w:pPr>
      <w:r>
        <w:rPr>
          <w:b/>
        </w:rPr>
        <w:t>Housing</w:t>
      </w:r>
    </w:p>
    <w:p w14:paraId="27995AC9" w14:textId="77777777" w:rsidR="006F46BF" w:rsidRDefault="00000000">
      <w:pPr>
        <w:widowControl w:val="0"/>
        <w:spacing w:beforeAutospacing="1" w:afterAutospacing="1"/>
        <w:rPr>
          <w:szCs w:val="24"/>
        </w:rPr>
      </w:pPr>
      <w:r>
        <w:t>Most recent estimates of the housing stock within the City of Hamilton reveals that there are approximately 59,544 total housing units. 33,712 are owner-occupied while 25,832 are renter-occupied housing units available in the City of Hamilton (per 2020 ACS 5-year estimates)</w:t>
      </w:r>
    </w:p>
    <w:p w14:paraId="413C93DB" w14:textId="77777777" w:rsidR="006F46BF" w:rsidRDefault="00000000">
      <w:pPr>
        <w:widowControl w:val="0"/>
        <w:spacing w:beforeAutospacing="1" w:afterAutospacing="1"/>
        <w:rPr>
          <w:szCs w:val="24"/>
        </w:rPr>
      </w:pPr>
      <w:r>
        <w:t xml:space="preserve">The development and maintenance of the City's affordable housing stock is imperative to community development and quality of life. As a result, the City will continue to fund minor home repairs, housing rehabilitation, Down-payment Assistance and other housing stabilization and production programs. The </w:t>
      </w:r>
      <w:proofErr w:type="gramStart"/>
      <w:r>
        <w:t>City</w:t>
      </w:r>
      <w:proofErr w:type="gramEnd"/>
      <w:r>
        <w:t xml:space="preserve"> will work with partner agencies to develop additional affordable housing including units targeting very low and low to moderate income residents. Through funding provided to the City's Health Department the City has cleared vacant, </w:t>
      </w:r>
      <w:proofErr w:type="gramStart"/>
      <w:r>
        <w:t>unsafe</w:t>
      </w:r>
      <w:proofErr w:type="gramEnd"/>
      <w:r>
        <w:t xml:space="preserve"> and blighted residential nuisance properties that adversely impact the health, safety and welfare of residents.  </w:t>
      </w:r>
    </w:p>
    <w:p w14:paraId="4C01134C" w14:textId="77777777" w:rsidR="006F46BF" w:rsidRDefault="00000000">
      <w:pPr>
        <w:widowControl w:val="0"/>
        <w:spacing w:beforeAutospacing="1" w:afterAutospacing="1"/>
        <w:rPr>
          <w:szCs w:val="24"/>
        </w:rPr>
      </w:pPr>
      <w:r>
        <w:rPr>
          <w:b/>
        </w:rPr>
        <w:t>Economic Development</w:t>
      </w:r>
    </w:p>
    <w:p w14:paraId="604E232C" w14:textId="77777777" w:rsidR="006F46BF" w:rsidRDefault="00000000">
      <w:pPr>
        <w:widowControl w:val="0"/>
        <w:spacing w:beforeAutospacing="1" w:afterAutospacing="1"/>
        <w:rPr>
          <w:szCs w:val="24"/>
        </w:rPr>
      </w:pPr>
      <w:r>
        <w:t xml:space="preserve">Expanded economic development opportunities by encouraging investments, retaining and creating jobs, revitalizing business districts and increasing employment-training opportunities have been a priority for the </w:t>
      </w:r>
      <w:proofErr w:type="gramStart"/>
      <w:r>
        <w:t>City</w:t>
      </w:r>
      <w:proofErr w:type="gramEnd"/>
      <w:r>
        <w:t>. In addition, the City has continued to provide the access to the Commercial Revolving Loan Fund (CRLF) to key business and start-up investments.</w:t>
      </w:r>
    </w:p>
    <w:p w14:paraId="30A843A6" w14:textId="77777777" w:rsidR="006F46BF" w:rsidRDefault="00000000">
      <w:pPr>
        <w:widowControl w:val="0"/>
        <w:spacing w:beforeAutospacing="1" w:afterAutospacing="1"/>
        <w:rPr>
          <w:szCs w:val="24"/>
        </w:rPr>
      </w:pPr>
      <w:r>
        <w:rPr>
          <w:b/>
        </w:rPr>
        <w:t>Public Service</w:t>
      </w:r>
    </w:p>
    <w:p w14:paraId="42380A07" w14:textId="77777777" w:rsidR="006F46BF" w:rsidRDefault="00000000">
      <w:pPr>
        <w:widowControl w:val="0"/>
        <w:spacing w:beforeAutospacing="1" w:afterAutospacing="1"/>
        <w:rPr>
          <w:szCs w:val="24"/>
        </w:rPr>
      </w:pPr>
      <w:r>
        <w:t xml:space="preserve">The City of Hamilton has focused its efforts </w:t>
      </w:r>
      <w:proofErr w:type="gramStart"/>
      <w:r>
        <w:t>in</w:t>
      </w:r>
      <w:proofErr w:type="gramEnd"/>
      <w:r>
        <w:t xml:space="preserve"> Public Service in order to address the unique needs of the LMI resident population. The </w:t>
      </w:r>
      <w:proofErr w:type="gramStart"/>
      <w:r>
        <w:t>City</w:t>
      </w:r>
      <w:proofErr w:type="gramEnd"/>
      <w:r>
        <w:t xml:space="preserve"> has continued to concentrate on fair housing, homeless services, affordable public transportation, youth recreation, and crime victim advocacy. </w:t>
      </w:r>
      <w:r>
        <w:lastRenderedPageBreak/>
        <w:t xml:space="preserve">More specifically, Women Helping Women provided case management, criminal court advocacy, and accompaniment on behalf of the victims of domestic violence to approximately </w:t>
      </w:r>
      <w:r>
        <w:rPr>
          <w:b/>
        </w:rPr>
        <w:t>535</w:t>
      </w:r>
      <w:r>
        <w:t xml:space="preserve"> city residents; YWCA Hamilton served </w:t>
      </w:r>
      <w:r>
        <w:rPr>
          <w:b/>
        </w:rPr>
        <w:t>110</w:t>
      </w:r>
      <w:r>
        <w:t xml:space="preserve"> persons via its Empowering Minority Businesses program; Transit Alliance of Butler County provided transportation services to approximately </w:t>
      </w:r>
      <w:r>
        <w:rPr>
          <w:b/>
        </w:rPr>
        <w:t>1632</w:t>
      </w:r>
      <w:r>
        <w:t xml:space="preserve"> persons/families; and Serve City provided Supportive Services to approximately, </w:t>
      </w:r>
      <w:r>
        <w:rPr>
          <w:b/>
        </w:rPr>
        <w:t>570</w:t>
      </w:r>
      <w:r>
        <w:t xml:space="preserve"> homeless persons. While the YMCA BTW Programming served approximately </w:t>
      </w:r>
      <w:r>
        <w:rPr>
          <w:b/>
        </w:rPr>
        <w:t>242</w:t>
      </w:r>
      <w:r>
        <w:t xml:space="preserve"> </w:t>
      </w:r>
      <w:proofErr w:type="gramStart"/>
      <w:r>
        <w:t>local residents</w:t>
      </w:r>
      <w:proofErr w:type="gramEnd"/>
      <w:r>
        <w:t xml:space="preserve">, Hamilton Living Water served approximately </w:t>
      </w:r>
      <w:r>
        <w:rPr>
          <w:b/>
        </w:rPr>
        <w:t>323</w:t>
      </w:r>
      <w:r>
        <w:t xml:space="preserve"> families, and the Fitton Center for Creative Arts served approximately </w:t>
      </w:r>
      <w:r>
        <w:rPr>
          <w:b/>
        </w:rPr>
        <w:t>6,719</w:t>
      </w:r>
      <w:r>
        <w:t xml:space="preserve"> community members. </w:t>
      </w:r>
    </w:p>
    <w:p w14:paraId="7AE57665" w14:textId="77777777" w:rsidR="006F46BF" w:rsidRDefault="00000000">
      <w:pPr>
        <w:widowControl w:val="0"/>
        <w:spacing w:beforeAutospacing="1" w:afterAutospacing="1"/>
        <w:rPr>
          <w:szCs w:val="24"/>
        </w:rPr>
      </w:pPr>
      <w:r>
        <w:rPr>
          <w:b/>
        </w:rPr>
        <w:t>Public Facility Improvements</w:t>
      </w:r>
    </w:p>
    <w:p w14:paraId="4FFC0850" w14:textId="77777777" w:rsidR="006F46BF" w:rsidRDefault="00000000">
      <w:pPr>
        <w:widowControl w:val="0"/>
        <w:spacing w:beforeAutospacing="1" w:afterAutospacing="1"/>
        <w:rPr>
          <w:szCs w:val="24"/>
        </w:rPr>
      </w:pPr>
      <w:r>
        <w:t xml:space="preserve">Improvements to public facilities and infrastructure located in the </w:t>
      </w:r>
      <w:proofErr w:type="gramStart"/>
      <w:r>
        <w:t>City</w:t>
      </w:r>
      <w:proofErr w:type="gramEnd"/>
      <w:r>
        <w:t xml:space="preserve"> that serves LMI residents and LMA areas of the city has been critical to community development and quality of life efforts. The </w:t>
      </w:r>
      <w:proofErr w:type="gramStart"/>
      <w:r>
        <w:t>City</w:t>
      </w:r>
      <w:proofErr w:type="gramEnd"/>
      <w:r>
        <w:t xml:space="preserve"> has made public improvements that enhance and compliment neighborhood and community economic development activities. In FY 22-23, Public Facility Improvements included Boys &amp; Girls Club Fence Installation, and the </w:t>
      </w:r>
      <w:proofErr w:type="gramStart"/>
      <w:r>
        <w:t>much needed</w:t>
      </w:r>
      <w:proofErr w:type="gramEnd"/>
      <w:r>
        <w:t xml:space="preserve"> purchase of the Fire Department's Rehabilitation to Station 22 and Life Squad Replacement. </w:t>
      </w:r>
    </w:p>
    <w:p w14:paraId="12D7B637" w14:textId="77777777" w:rsidR="006F46BF" w:rsidRDefault="00000000">
      <w:pPr>
        <w:widowControl w:val="0"/>
        <w:spacing w:beforeAutospacing="1" w:afterAutospacing="1"/>
        <w:rPr>
          <w:szCs w:val="24"/>
        </w:rPr>
      </w:pPr>
      <w:r>
        <w:rPr>
          <w:b/>
        </w:rPr>
        <w:t>CDBG-CV</w:t>
      </w:r>
    </w:p>
    <w:p w14:paraId="78760497" w14:textId="77777777" w:rsidR="006F46BF" w:rsidRDefault="00000000">
      <w:pPr>
        <w:widowControl w:val="0"/>
        <w:spacing w:beforeAutospacing="1" w:afterAutospacing="1"/>
        <w:rPr>
          <w:szCs w:val="24"/>
        </w:rPr>
      </w:pPr>
      <w:r>
        <w:t xml:space="preserve">In addition to general entitlement CDBG projects the City also utilized CDBG-CV funds. More specifically, funds were used to prepare, </w:t>
      </w:r>
      <w:proofErr w:type="spellStart"/>
      <w:r>
        <w:t>preventand</w:t>
      </w:r>
      <w:proofErr w:type="spellEnd"/>
      <w:r>
        <w:t>/or respond to the Coronavirus Pandemic through projects that included, but were not limited to, public health projects, public facility improvements to promote safe environments to prevent the spread of COVID, outdoor education for youth, and rental/utility/mortgage assistance for persons/</w:t>
      </w:r>
      <w:proofErr w:type="spellStart"/>
      <w:r>
        <w:t>familes</w:t>
      </w:r>
      <w:proofErr w:type="spellEnd"/>
      <w:r>
        <w:t xml:space="preserve"> financially impacted by the pandemic. </w:t>
      </w:r>
    </w:p>
    <w:p w14:paraId="629AFFED" w14:textId="77777777" w:rsidR="006F46BF" w:rsidRDefault="00000000">
      <w:pPr>
        <w:keepNext/>
        <w:widowControl w:val="0"/>
        <w:spacing w:after="0" w:line="240" w:lineRule="auto"/>
        <w:rPr>
          <w:b/>
          <w:sz w:val="24"/>
          <w:szCs w:val="24"/>
        </w:rPr>
      </w:pPr>
      <w:r>
        <w:rPr>
          <w:b/>
          <w:sz w:val="24"/>
          <w:szCs w:val="24"/>
        </w:rPr>
        <w:t>Comparison of the proposed versus actual outcomes for each outcome measure submitted with the consolidated plan and explain, if applicable, why progress was not made toward meeting goals and objectives.  91.520(g)</w:t>
      </w:r>
    </w:p>
    <w:p w14:paraId="6F5916AA" w14:textId="77777777" w:rsidR="006F46BF" w:rsidRDefault="00000000">
      <w:pPr>
        <w:keepNext/>
        <w:widowControl w:val="0"/>
        <w:spacing w:after="0" w:line="240" w:lineRule="auto"/>
        <w:rPr>
          <w:szCs w:val="24"/>
        </w:rPr>
      </w:pPr>
      <w:r>
        <w:t>Categories, priority levels, funding sources and amounts, outcomes/objectives, goal outcome indicators, units of measure, targets, actual outcomes/outputs, and percentage completed for each of the grantee’s program year goals.</w:t>
      </w:r>
    </w:p>
    <w:p w14:paraId="47C7635B" w14:textId="77777777" w:rsidR="006F46BF" w:rsidRDefault="006F46BF">
      <w:pPr>
        <w:widowControl w:val="0"/>
        <w:rPr>
          <w:b/>
          <w:sz w:val="24"/>
          <w:szCs w:val="24"/>
        </w:rPr>
      </w:pPr>
    </w:p>
    <w:tbl>
      <w:tblPr>
        <w:tblStyle w:val="TableGrid"/>
        <w:tblW w:w="13728" w:type="dxa"/>
        <w:tblInd w:w="0" w:type="dxa"/>
        <w:tblLook w:val="04A0" w:firstRow="1" w:lastRow="0" w:firstColumn="1" w:lastColumn="0" w:noHBand="0" w:noVBand="1"/>
      </w:tblPr>
      <w:tblGrid>
        <w:gridCol w:w="1657"/>
        <w:gridCol w:w="1657"/>
        <w:gridCol w:w="1027"/>
        <w:gridCol w:w="2008"/>
        <w:gridCol w:w="1309"/>
        <w:gridCol w:w="986"/>
        <w:gridCol w:w="960"/>
        <w:gridCol w:w="1033"/>
        <w:gridCol w:w="986"/>
        <w:gridCol w:w="942"/>
        <w:gridCol w:w="1163"/>
      </w:tblGrid>
      <w:tr w:rsidR="006F46BF" w14:paraId="3EA696F1" w14:textId="77777777">
        <w:tc>
          <w:tcPr>
            <w:tcW w:w="1248" w:type="dxa"/>
          </w:tcPr>
          <w:p w14:paraId="473B6D9B" w14:textId="77777777" w:rsidR="006F46BF" w:rsidRDefault="00000000">
            <w:pPr>
              <w:keepNext/>
              <w:widowControl w:val="0"/>
              <w:spacing w:after="0" w:line="240" w:lineRule="auto"/>
              <w:rPr>
                <w:b/>
              </w:rPr>
            </w:pPr>
            <w:r>
              <w:rPr>
                <w:b/>
              </w:rPr>
              <w:lastRenderedPageBreak/>
              <w:t>Goal</w:t>
            </w:r>
          </w:p>
        </w:tc>
        <w:tc>
          <w:tcPr>
            <w:tcW w:w="1248" w:type="dxa"/>
          </w:tcPr>
          <w:p w14:paraId="4DE89B17" w14:textId="77777777" w:rsidR="006F46BF" w:rsidRDefault="00000000">
            <w:pPr>
              <w:keepNext/>
              <w:widowControl w:val="0"/>
              <w:spacing w:after="0" w:line="240" w:lineRule="auto"/>
              <w:rPr>
                <w:b/>
              </w:rPr>
            </w:pPr>
            <w:r>
              <w:rPr>
                <w:b/>
              </w:rPr>
              <w:t>Category</w:t>
            </w:r>
          </w:p>
        </w:tc>
        <w:tc>
          <w:tcPr>
            <w:tcW w:w="1248" w:type="dxa"/>
          </w:tcPr>
          <w:p w14:paraId="6F929BA4" w14:textId="77777777" w:rsidR="006F46BF" w:rsidRDefault="00000000">
            <w:pPr>
              <w:keepNext/>
              <w:widowControl w:val="0"/>
              <w:spacing w:after="0" w:line="240" w:lineRule="auto"/>
              <w:rPr>
                <w:b/>
              </w:rPr>
            </w:pPr>
            <w:r>
              <w:rPr>
                <w:b/>
              </w:rPr>
              <w:t>Source / Amount</w:t>
            </w:r>
          </w:p>
        </w:tc>
        <w:tc>
          <w:tcPr>
            <w:tcW w:w="1248" w:type="dxa"/>
          </w:tcPr>
          <w:p w14:paraId="6669DE0F" w14:textId="77777777" w:rsidR="006F46BF" w:rsidRDefault="00000000">
            <w:pPr>
              <w:keepNext/>
              <w:widowControl w:val="0"/>
              <w:spacing w:after="0" w:line="240" w:lineRule="auto"/>
              <w:rPr>
                <w:b/>
              </w:rPr>
            </w:pPr>
            <w:r>
              <w:rPr>
                <w:b/>
              </w:rPr>
              <w:t>Indicator</w:t>
            </w:r>
          </w:p>
        </w:tc>
        <w:tc>
          <w:tcPr>
            <w:tcW w:w="1248" w:type="dxa"/>
          </w:tcPr>
          <w:p w14:paraId="0678CC7B" w14:textId="77777777" w:rsidR="006F46BF" w:rsidRDefault="00000000">
            <w:pPr>
              <w:keepNext/>
              <w:widowControl w:val="0"/>
              <w:spacing w:after="0" w:line="240" w:lineRule="auto"/>
              <w:rPr>
                <w:b/>
              </w:rPr>
            </w:pPr>
            <w:r>
              <w:rPr>
                <w:b/>
              </w:rPr>
              <w:t>Unit of Measure</w:t>
            </w:r>
          </w:p>
        </w:tc>
        <w:tc>
          <w:tcPr>
            <w:tcW w:w="1248" w:type="dxa"/>
          </w:tcPr>
          <w:p w14:paraId="634934CB" w14:textId="77777777" w:rsidR="006F46BF" w:rsidRDefault="00000000">
            <w:pPr>
              <w:keepNext/>
              <w:widowControl w:val="0"/>
              <w:spacing w:after="0" w:line="240" w:lineRule="auto"/>
              <w:rPr>
                <w:b/>
              </w:rPr>
            </w:pPr>
            <w:r>
              <w:rPr>
                <w:b/>
              </w:rPr>
              <w:t>Expected – Strategic Plan</w:t>
            </w:r>
          </w:p>
        </w:tc>
        <w:tc>
          <w:tcPr>
            <w:tcW w:w="1248" w:type="dxa"/>
          </w:tcPr>
          <w:p w14:paraId="0A7B2CBC" w14:textId="77777777" w:rsidR="006F46BF" w:rsidRDefault="00000000">
            <w:pPr>
              <w:keepNext/>
              <w:widowControl w:val="0"/>
              <w:spacing w:after="0" w:line="240" w:lineRule="auto"/>
              <w:rPr>
                <w:b/>
              </w:rPr>
            </w:pPr>
            <w:r>
              <w:rPr>
                <w:b/>
              </w:rPr>
              <w:t>Actual – Strategic Plan</w:t>
            </w:r>
          </w:p>
        </w:tc>
        <w:tc>
          <w:tcPr>
            <w:tcW w:w="1248" w:type="dxa"/>
          </w:tcPr>
          <w:p w14:paraId="326FEBBC" w14:textId="77777777" w:rsidR="006F46BF" w:rsidRDefault="00000000">
            <w:pPr>
              <w:keepNext/>
              <w:widowControl w:val="0"/>
              <w:spacing w:after="0" w:line="240" w:lineRule="auto"/>
              <w:rPr>
                <w:b/>
              </w:rPr>
            </w:pPr>
            <w:r>
              <w:rPr>
                <w:b/>
              </w:rPr>
              <w:t>Percent Complete</w:t>
            </w:r>
          </w:p>
        </w:tc>
        <w:tc>
          <w:tcPr>
            <w:tcW w:w="1248" w:type="dxa"/>
          </w:tcPr>
          <w:p w14:paraId="0AB3510F" w14:textId="77777777" w:rsidR="006F46BF" w:rsidRDefault="00000000">
            <w:pPr>
              <w:keepNext/>
              <w:widowControl w:val="0"/>
              <w:spacing w:after="0" w:line="240" w:lineRule="auto"/>
              <w:rPr>
                <w:b/>
              </w:rPr>
            </w:pPr>
            <w:r>
              <w:rPr>
                <w:b/>
              </w:rPr>
              <w:t>Expected – Program Year</w:t>
            </w:r>
          </w:p>
        </w:tc>
        <w:tc>
          <w:tcPr>
            <w:tcW w:w="1248" w:type="dxa"/>
          </w:tcPr>
          <w:p w14:paraId="1C39640C" w14:textId="77777777" w:rsidR="006F46BF" w:rsidRDefault="00000000">
            <w:pPr>
              <w:keepNext/>
              <w:widowControl w:val="0"/>
              <w:spacing w:after="0" w:line="240" w:lineRule="auto"/>
              <w:rPr>
                <w:b/>
              </w:rPr>
            </w:pPr>
            <w:r>
              <w:rPr>
                <w:b/>
              </w:rPr>
              <w:t>Actual – Program Year</w:t>
            </w:r>
          </w:p>
        </w:tc>
        <w:tc>
          <w:tcPr>
            <w:tcW w:w="1248" w:type="dxa"/>
          </w:tcPr>
          <w:p w14:paraId="60BFF1A8" w14:textId="77777777" w:rsidR="006F46BF" w:rsidRDefault="00000000">
            <w:pPr>
              <w:keepNext/>
              <w:widowControl w:val="0"/>
              <w:spacing w:after="0" w:line="240" w:lineRule="auto"/>
              <w:rPr>
                <w:b/>
              </w:rPr>
            </w:pPr>
            <w:r>
              <w:rPr>
                <w:b/>
              </w:rPr>
              <w:t>Percent Complete</w:t>
            </w:r>
          </w:p>
        </w:tc>
      </w:tr>
      <w:tr w:rsidR="006F46BF" w14:paraId="73199AB0" w14:textId="77777777">
        <w:trPr>
          <w:cantSplit/>
        </w:trPr>
        <w:tc>
          <w:tcPr>
            <w:tcW w:w="0" w:type="auto"/>
            <w:vAlign w:val="center"/>
          </w:tcPr>
          <w:p w14:paraId="17F97E62" w14:textId="77777777" w:rsidR="006F46BF" w:rsidRDefault="00000000">
            <w:pPr>
              <w:spacing w:beforeAutospacing="1" w:afterAutospacing="1"/>
            </w:pPr>
            <w:r>
              <w:rPr>
                <w:color w:val="000000"/>
                <w:sz w:val="22"/>
              </w:rPr>
              <w:t>Address Fair Housing Concerns</w:t>
            </w:r>
          </w:p>
        </w:tc>
        <w:tc>
          <w:tcPr>
            <w:tcW w:w="0" w:type="auto"/>
            <w:vAlign w:val="center"/>
          </w:tcPr>
          <w:p w14:paraId="59723F7B" w14:textId="77777777" w:rsidR="006F46BF" w:rsidRDefault="00000000">
            <w:pPr>
              <w:spacing w:beforeAutospacing="1" w:afterAutospacing="1"/>
            </w:pPr>
            <w:r>
              <w:rPr>
                <w:color w:val="000000"/>
                <w:sz w:val="22"/>
              </w:rPr>
              <w:t>Fair Housing</w:t>
            </w:r>
          </w:p>
        </w:tc>
        <w:tc>
          <w:tcPr>
            <w:tcW w:w="0" w:type="auto"/>
            <w:vAlign w:val="center"/>
          </w:tcPr>
          <w:p w14:paraId="0EFA2F46" w14:textId="77777777" w:rsidR="006F46BF" w:rsidRDefault="00000000">
            <w:pPr>
              <w:spacing w:beforeAutospacing="1" w:afterAutospacing="1"/>
            </w:pPr>
            <w:r>
              <w:rPr>
                <w:color w:val="000000"/>
                <w:sz w:val="22"/>
              </w:rPr>
              <w:t>CDBG: $</w:t>
            </w:r>
          </w:p>
        </w:tc>
        <w:tc>
          <w:tcPr>
            <w:tcW w:w="0" w:type="auto"/>
            <w:vAlign w:val="center"/>
          </w:tcPr>
          <w:p w14:paraId="2EF43EE3" w14:textId="77777777" w:rsidR="006F46BF" w:rsidRDefault="00000000">
            <w:pPr>
              <w:spacing w:beforeAutospacing="1" w:afterAutospacing="1"/>
            </w:pPr>
            <w:r>
              <w:rPr>
                <w:color w:val="000000"/>
                <w:sz w:val="22"/>
              </w:rPr>
              <w:t>Other</w:t>
            </w:r>
          </w:p>
        </w:tc>
        <w:tc>
          <w:tcPr>
            <w:tcW w:w="0" w:type="auto"/>
            <w:vAlign w:val="center"/>
          </w:tcPr>
          <w:p w14:paraId="6B1D559E" w14:textId="77777777" w:rsidR="006F46BF" w:rsidRDefault="00000000">
            <w:pPr>
              <w:spacing w:beforeAutospacing="1" w:afterAutospacing="1"/>
            </w:pPr>
            <w:r>
              <w:rPr>
                <w:color w:val="000000"/>
                <w:sz w:val="22"/>
              </w:rPr>
              <w:t>Other</w:t>
            </w:r>
          </w:p>
        </w:tc>
        <w:tc>
          <w:tcPr>
            <w:tcW w:w="0" w:type="auto"/>
            <w:vAlign w:val="center"/>
          </w:tcPr>
          <w:p w14:paraId="5F6A6F5B" w14:textId="77777777" w:rsidR="006F46BF" w:rsidRDefault="00000000">
            <w:pPr>
              <w:spacing w:beforeAutospacing="1" w:afterAutospacing="1"/>
            </w:pPr>
            <w:r>
              <w:rPr>
                <w:color w:val="000000"/>
                <w:sz w:val="22"/>
              </w:rPr>
              <w:t>200</w:t>
            </w:r>
          </w:p>
        </w:tc>
        <w:tc>
          <w:tcPr>
            <w:tcW w:w="0" w:type="auto"/>
            <w:vAlign w:val="center"/>
          </w:tcPr>
          <w:p w14:paraId="113ED1B3" w14:textId="77777777" w:rsidR="006F46BF" w:rsidRDefault="00000000">
            <w:pPr>
              <w:spacing w:beforeAutospacing="1" w:afterAutospacing="1"/>
            </w:pPr>
            <w:r>
              <w:rPr>
                <w:color w:val="000000"/>
                <w:sz w:val="22"/>
              </w:rPr>
              <w:t>132</w:t>
            </w:r>
          </w:p>
        </w:tc>
        <w:tc>
          <w:tcPr>
            <w:tcW w:w="0" w:type="auto"/>
            <w:vAlign w:val="center"/>
          </w:tcPr>
          <w:p w14:paraId="31FF7920" w14:textId="77777777" w:rsidR="006F46BF" w:rsidRDefault="00000000">
            <w:pPr>
              <w:spacing w:beforeAutospacing="1" w:afterAutospacing="1"/>
            </w:pPr>
            <w:r>
              <w:rPr>
                <w:color w:val="000000"/>
                <w:sz w:val="22"/>
              </w:rPr>
              <w:t xml:space="preserve">        66.00%</w:t>
            </w:r>
          </w:p>
        </w:tc>
        <w:tc>
          <w:tcPr>
            <w:tcW w:w="0" w:type="auto"/>
            <w:vAlign w:val="center"/>
          </w:tcPr>
          <w:p w14:paraId="30D683D6" w14:textId="77777777" w:rsidR="006F46BF" w:rsidRDefault="00000000">
            <w:pPr>
              <w:spacing w:beforeAutospacing="1" w:afterAutospacing="1"/>
            </w:pPr>
            <w:r>
              <w:rPr>
                <w:color w:val="000000"/>
                <w:sz w:val="22"/>
              </w:rPr>
              <w:t>100</w:t>
            </w:r>
          </w:p>
        </w:tc>
        <w:tc>
          <w:tcPr>
            <w:tcW w:w="0" w:type="auto"/>
            <w:vAlign w:val="center"/>
          </w:tcPr>
          <w:p w14:paraId="308C7FF6" w14:textId="77777777" w:rsidR="006F46BF" w:rsidRDefault="00000000">
            <w:pPr>
              <w:spacing w:beforeAutospacing="1" w:afterAutospacing="1"/>
            </w:pPr>
            <w:r>
              <w:rPr>
                <w:color w:val="000000"/>
                <w:sz w:val="22"/>
              </w:rPr>
              <w:t>132</w:t>
            </w:r>
          </w:p>
        </w:tc>
        <w:tc>
          <w:tcPr>
            <w:tcW w:w="0" w:type="auto"/>
            <w:vAlign w:val="center"/>
          </w:tcPr>
          <w:p w14:paraId="1915C454" w14:textId="77777777" w:rsidR="006F46BF" w:rsidRDefault="00000000">
            <w:pPr>
              <w:spacing w:beforeAutospacing="1" w:afterAutospacing="1"/>
            </w:pPr>
            <w:r>
              <w:rPr>
                <w:color w:val="000000"/>
                <w:sz w:val="22"/>
              </w:rPr>
              <w:t xml:space="preserve">       132.00%</w:t>
            </w:r>
          </w:p>
        </w:tc>
      </w:tr>
      <w:tr w:rsidR="006F46BF" w14:paraId="7AAE04BB" w14:textId="77777777">
        <w:trPr>
          <w:cantSplit/>
        </w:trPr>
        <w:tc>
          <w:tcPr>
            <w:tcW w:w="0" w:type="auto"/>
            <w:vAlign w:val="center"/>
          </w:tcPr>
          <w:p w14:paraId="3850396A" w14:textId="77777777" w:rsidR="006F46BF" w:rsidRDefault="00000000">
            <w:pPr>
              <w:spacing w:beforeAutospacing="1" w:afterAutospacing="1"/>
            </w:pPr>
            <w:r>
              <w:rPr>
                <w:color w:val="000000"/>
                <w:sz w:val="22"/>
              </w:rPr>
              <w:t>Affordable Housing - Homeowner Assistance</w:t>
            </w:r>
          </w:p>
        </w:tc>
        <w:tc>
          <w:tcPr>
            <w:tcW w:w="0" w:type="auto"/>
            <w:vAlign w:val="center"/>
          </w:tcPr>
          <w:p w14:paraId="78B76B80" w14:textId="77777777" w:rsidR="006F46BF" w:rsidRDefault="00000000">
            <w:pPr>
              <w:spacing w:beforeAutospacing="1" w:afterAutospacing="1"/>
            </w:pPr>
            <w:r>
              <w:rPr>
                <w:color w:val="000000"/>
                <w:sz w:val="22"/>
              </w:rPr>
              <w:t>Affordable Housing</w:t>
            </w:r>
          </w:p>
        </w:tc>
        <w:tc>
          <w:tcPr>
            <w:tcW w:w="0" w:type="auto"/>
            <w:vAlign w:val="center"/>
          </w:tcPr>
          <w:p w14:paraId="2FA3FF18" w14:textId="77777777" w:rsidR="006F46BF" w:rsidRDefault="00000000">
            <w:pPr>
              <w:spacing w:beforeAutospacing="1" w:afterAutospacing="1"/>
            </w:pPr>
            <w:r>
              <w:rPr>
                <w:color w:val="000000"/>
                <w:sz w:val="22"/>
              </w:rPr>
              <w:t>CDBG: $ / HOME: $ / General Fund: $</w:t>
            </w:r>
          </w:p>
        </w:tc>
        <w:tc>
          <w:tcPr>
            <w:tcW w:w="0" w:type="auto"/>
            <w:vAlign w:val="center"/>
          </w:tcPr>
          <w:p w14:paraId="417DFD48" w14:textId="77777777" w:rsidR="006F46BF" w:rsidRDefault="00000000">
            <w:pPr>
              <w:spacing w:beforeAutospacing="1" w:afterAutospacing="1"/>
            </w:pPr>
            <w:r>
              <w:rPr>
                <w:color w:val="000000"/>
                <w:sz w:val="22"/>
              </w:rPr>
              <w:t>Homeowner Housing Added</w:t>
            </w:r>
          </w:p>
        </w:tc>
        <w:tc>
          <w:tcPr>
            <w:tcW w:w="0" w:type="auto"/>
            <w:vAlign w:val="center"/>
          </w:tcPr>
          <w:p w14:paraId="196A8A86" w14:textId="77777777" w:rsidR="006F46BF" w:rsidRDefault="00000000">
            <w:pPr>
              <w:spacing w:beforeAutospacing="1" w:afterAutospacing="1"/>
            </w:pPr>
            <w:r>
              <w:rPr>
                <w:color w:val="000000"/>
                <w:sz w:val="22"/>
              </w:rPr>
              <w:t>Household Housing Unit</w:t>
            </w:r>
          </w:p>
        </w:tc>
        <w:tc>
          <w:tcPr>
            <w:tcW w:w="0" w:type="auto"/>
            <w:vAlign w:val="center"/>
          </w:tcPr>
          <w:p w14:paraId="27510894" w14:textId="77777777" w:rsidR="006F46BF" w:rsidRDefault="00000000">
            <w:pPr>
              <w:spacing w:beforeAutospacing="1" w:afterAutospacing="1"/>
            </w:pPr>
            <w:r>
              <w:rPr>
                <w:color w:val="000000"/>
                <w:sz w:val="22"/>
              </w:rPr>
              <w:t>3</w:t>
            </w:r>
          </w:p>
        </w:tc>
        <w:tc>
          <w:tcPr>
            <w:tcW w:w="0" w:type="auto"/>
            <w:vAlign w:val="center"/>
          </w:tcPr>
          <w:p w14:paraId="6AC2DDB2" w14:textId="77777777" w:rsidR="006F46BF" w:rsidRDefault="00000000">
            <w:pPr>
              <w:spacing w:beforeAutospacing="1" w:afterAutospacing="1"/>
            </w:pPr>
            <w:r>
              <w:rPr>
                <w:color w:val="000000"/>
                <w:sz w:val="22"/>
              </w:rPr>
              <w:t>10</w:t>
            </w:r>
          </w:p>
        </w:tc>
        <w:tc>
          <w:tcPr>
            <w:tcW w:w="0" w:type="auto"/>
            <w:vAlign w:val="center"/>
          </w:tcPr>
          <w:p w14:paraId="50BFDDE3" w14:textId="77777777" w:rsidR="006F46BF" w:rsidRDefault="00000000">
            <w:pPr>
              <w:spacing w:beforeAutospacing="1" w:afterAutospacing="1"/>
            </w:pPr>
            <w:r>
              <w:rPr>
                <w:color w:val="000000"/>
                <w:sz w:val="22"/>
              </w:rPr>
              <w:t xml:space="preserve">       333.33%</w:t>
            </w:r>
          </w:p>
        </w:tc>
        <w:tc>
          <w:tcPr>
            <w:tcW w:w="0" w:type="auto"/>
            <w:vAlign w:val="center"/>
          </w:tcPr>
          <w:p w14:paraId="6BB040B4" w14:textId="77777777" w:rsidR="006F46BF" w:rsidRDefault="00000000">
            <w:pPr>
              <w:spacing w:beforeAutospacing="1" w:afterAutospacing="1"/>
            </w:pPr>
            <w:r>
              <w:rPr>
                <w:color w:val="000000"/>
                <w:sz w:val="22"/>
              </w:rPr>
              <w:t>1</w:t>
            </w:r>
          </w:p>
        </w:tc>
        <w:tc>
          <w:tcPr>
            <w:tcW w:w="0" w:type="auto"/>
            <w:vAlign w:val="center"/>
          </w:tcPr>
          <w:p w14:paraId="63AF212A" w14:textId="77777777" w:rsidR="006F46BF" w:rsidRDefault="00000000">
            <w:pPr>
              <w:spacing w:beforeAutospacing="1" w:afterAutospacing="1"/>
            </w:pPr>
            <w:r>
              <w:rPr>
                <w:color w:val="000000"/>
                <w:sz w:val="22"/>
              </w:rPr>
              <w:t>10</w:t>
            </w:r>
          </w:p>
        </w:tc>
        <w:tc>
          <w:tcPr>
            <w:tcW w:w="0" w:type="auto"/>
            <w:vAlign w:val="center"/>
          </w:tcPr>
          <w:p w14:paraId="50983820" w14:textId="77777777" w:rsidR="006F46BF" w:rsidRDefault="00000000">
            <w:pPr>
              <w:spacing w:beforeAutospacing="1" w:afterAutospacing="1"/>
            </w:pPr>
            <w:r>
              <w:rPr>
                <w:color w:val="000000"/>
                <w:sz w:val="22"/>
              </w:rPr>
              <w:t xml:space="preserve">     1,000.00%</w:t>
            </w:r>
          </w:p>
        </w:tc>
      </w:tr>
      <w:tr w:rsidR="006F46BF" w14:paraId="5AC50308" w14:textId="77777777">
        <w:trPr>
          <w:cantSplit/>
        </w:trPr>
        <w:tc>
          <w:tcPr>
            <w:tcW w:w="0" w:type="auto"/>
            <w:vAlign w:val="center"/>
          </w:tcPr>
          <w:p w14:paraId="00F8635D" w14:textId="77777777" w:rsidR="006F46BF" w:rsidRDefault="00000000">
            <w:pPr>
              <w:spacing w:beforeAutospacing="1" w:afterAutospacing="1"/>
            </w:pPr>
            <w:r>
              <w:rPr>
                <w:color w:val="000000"/>
                <w:sz w:val="22"/>
              </w:rPr>
              <w:t>Affordable Housing - Homeowner Assistance</w:t>
            </w:r>
          </w:p>
        </w:tc>
        <w:tc>
          <w:tcPr>
            <w:tcW w:w="0" w:type="auto"/>
            <w:vAlign w:val="center"/>
          </w:tcPr>
          <w:p w14:paraId="540889C7" w14:textId="77777777" w:rsidR="006F46BF" w:rsidRDefault="00000000">
            <w:pPr>
              <w:spacing w:beforeAutospacing="1" w:afterAutospacing="1"/>
            </w:pPr>
            <w:r>
              <w:rPr>
                <w:color w:val="000000"/>
                <w:sz w:val="22"/>
              </w:rPr>
              <w:t>Affordable Housing</w:t>
            </w:r>
          </w:p>
        </w:tc>
        <w:tc>
          <w:tcPr>
            <w:tcW w:w="0" w:type="auto"/>
            <w:vAlign w:val="center"/>
          </w:tcPr>
          <w:p w14:paraId="669A6A76" w14:textId="77777777" w:rsidR="006F46BF" w:rsidRDefault="00000000">
            <w:pPr>
              <w:spacing w:beforeAutospacing="1" w:afterAutospacing="1"/>
            </w:pPr>
            <w:r>
              <w:rPr>
                <w:color w:val="000000"/>
                <w:sz w:val="22"/>
              </w:rPr>
              <w:t>CDBG: $ / HOME: $ / General Fund: $</w:t>
            </w:r>
          </w:p>
        </w:tc>
        <w:tc>
          <w:tcPr>
            <w:tcW w:w="0" w:type="auto"/>
            <w:vAlign w:val="center"/>
          </w:tcPr>
          <w:p w14:paraId="4CF32DFF" w14:textId="77777777" w:rsidR="006F46BF" w:rsidRDefault="00000000">
            <w:pPr>
              <w:spacing w:beforeAutospacing="1" w:afterAutospacing="1"/>
            </w:pPr>
            <w:r>
              <w:rPr>
                <w:color w:val="000000"/>
                <w:sz w:val="22"/>
              </w:rPr>
              <w:t>Homeowner Housing Rehabilitated</w:t>
            </w:r>
          </w:p>
        </w:tc>
        <w:tc>
          <w:tcPr>
            <w:tcW w:w="0" w:type="auto"/>
            <w:vAlign w:val="center"/>
          </w:tcPr>
          <w:p w14:paraId="28387684" w14:textId="77777777" w:rsidR="006F46BF" w:rsidRDefault="00000000">
            <w:pPr>
              <w:spacing w:beforeAutospacing="1" w:afterAutospacing="1"/>
            </w:pPr>
            <w:r>
              <w:rPr>
                <w:color w:val="000000"/>
                <w:sz w:val="22"/>
              </w:rPr>
              <w:t>Household Housing Unit</w:t>
            </w:r>
          </w:p>
        </w:tc>
        <w:tc>
          <w:tcPr>
            <w:tcW w:w="0" w:type="auto"/>
            <w:vAlign w:val="center"/>
          </w:tcPr>
          <w:p w14:paraId="1927687E" w14:textId="77777777" w:rsidR="006F46BF" w:rsidRDefault="00000000">
            <w:pPr>
              <w:spacing w:beforeAutospacing="1" w:afterAutospacing="1"/>
            </w:pPr>
            <w:r>
              <w:rPr>
                <w:color w:val="000000"/>
                <w:sz w:val="22"/>
              </w:rPr>
              <w:t>40</w:t>
            </w:r>
          </w:p>
        </w:tc>
        <w:tc>
          <w:tcPr>
            <w:tcW w:w="0" w:type="auto"/>
            <w:vAlign w:val="center"/>
          </w:tcPr>
          <w:p w14:paraId="17E068A4" w14:textId="77777777" w:rsidR="006F46BF" w:rsidRDefault="00000000">
            <w:pPr>
              <w:spacing w:beforeAutospacing="1" w:afterAutospacing="1"/>
            </w:pPr>
            <w:r>
              <w:rPr>
                <w:color w:val="000000"/>
                <w:sz w:val="22"/>
              </w:rPr>
              <w:t>62</w:t>
            </w:r>
          </w:p>
        </w:tc>
        <w:tc>
          <w:tcPr>
            <w:tcW w:w="0" w:type="auto"/>
            <w:vAlign w:val="center"/>
          </w:tcPr>
          <w:p w14:paraId="171B1E44" w14:textId="77777777" w:rsidR="006F46BF" w:rsidRDefault="00000000">
            <w:pPr>
              <w:spacing w:beforeAutospacing="1" w:afterAutospacing="1"/>
            </w:pPr>
            <w:r>
              <w:rPr>
                <w:color w:val="000000"/>
                <w:sz w:val="22"/>
              </w:rPr>
              <w:t xml:space="preserve">       155.00%</w:t>
            </w:r>
          </w:p>
        </w:tc>
        <w:tc>
          <w:tcPr>
            <w:tcW w:w="0" w:type="auto"/>
            <w:vAlign w:val="center"/>
          </w:tcPr>
          <w:p w14:paraId="0664E382" w14:textId="77777777" w:rsidR="006F46BF" w:rsidRDefault="00000000">
            <w:pPr>
              <w:spacing w:beforeAutospacing="1" w:afterAutospacing="1"/>
            </w:pPr>
            <w:r>
              <w:rPr>
                <w:color w:val="000000"/>
                <w:sz w:val="22"/>
              </w:rPr>
              <w:t>8</w:t>
            </w:r>
          </w:p>
        </w:tc>
        <w:tc>
          <w:tcPr>
            <w:tcW w:w="0" w:type="auto"/>
            <w:vAlign w:val="center"/>
          </w:tcPr>
          <w:p w14:paraId="6778ACAB" w14:textId="77777777" w:rsidR="006F46BF" w:rsidRDefault="00000000">
            <w:pPr>
              <w:spacing w:beforeAutospacing="1" w:afterAutospacing="1"/>
            </w:pPr>
            <w:r>
              <w:rPr>
                <w:color w:val="000000"/>
                <w:sz w:val="22"/>
              </w:rPr>
              <w:t>62</w:t>
            </w:r>
          </w:p>
        </w:tc>
        <w:tc>
          <w:tcPr>
            <w:tcW w:w="0" w:type="auto"/>
            <w:vAlign w:val="center"/>
          </w:tcPr>
          <w:p w14:paraId="1B85100A" w14:textId="77777777" w:rsidR="006F46BF" w:rsidRDefault="00000000">
            <w:pPr>
              <w:spacing w:beforeAutospacing="1" w:afterAutospacing="1"/>
            </w:pPr>
            <w:r>
              <w:rPr>
                <w:color w:val="000000"/>
                <w:sz w:val="22"/>
              </w:rPr>
              <w:t xml:space="preserve">       775.00%</w:t>
            </w:r>
          </w:p>
        </w:tc>
      </w:tr>
      <w:tr w:rsidR="006F46BF" w14:paraId="38FE191C" w14:textId="77777777">
        <w:trPr>
          <w:cantSplit/>
        </w:trPr>
        <w:tc>
          <w:tcPr>
            <w:tcW w:w="0" w:type="auto"/>
            <w:vAlign w:val="center"/>
          </w:tcPr>
          <w:p w14:paraId="53123AF9" w14:textId="77777777" w:rsidR="006F46BF" w:rsidRDefault="00000000">
            <w:pPr>
              <w:spacing w:beforeAutospacing="1" w:afterAutospacing="1"/>
            </w:pPr>
            <w:r>
              <w:rPr>
                <w:color w:val="000000"/>
                <w:sz w:val="22"/>
              </w:rPr>
              <w:t>Affordable Housing - Homeowner Assistance</w:t>
            </w:r>
          </w:p>
        </w:tc>
        <w:tc>
          <w:tcPr>
            <w:tcW w:w="0" w:type="auto"/>
            <w:vAlign w:val="center"/>
          </w:tcPr>
          <w:p w14:paraId="7D6D3FF7" w14:textId="77777777" w:rsidR="006F46BF" w:rsidRDefault="00000000">
            <w:pPr>
              <w:spacing w:beforeAutospacing="1" w:afterAutospacing="1"/>
            </w:pPr>
            <w:r>
              <w:rPr>
                <w:color w:val="000000"/>
                <w:sz w:val="22"/>
              </w:rPr>
              <w:t>Affordable Housing</w:t>
            </w:r>
          </w:p>
        </w:tc>
        <w:tc>
          <w:tcPr>
            <w:tcW w:w="0" w:type="auto"/>
            <w:vAlign w:val="center"/>
          </w:tcPr>
          <w:p w14:paraId="633BDAF1" w14:textId="77777777" w:rsidR="006F46BF" w:rsidRDefault="00000000">
            <w:pPr>
              <w:spacing w:beforeAutospacing="1" w:afterAutospacing="1"/>
            </w:pPr>
            <w:r>
              <w:rPr>
                <w:color w:val="000000"/>
                <w:sz w:val="22"/>
              </w:rPr>
              <w:t>CDBG: $ / HOME: $ / General Fund: $</w:t>
            </w:r>
          </w:p>
        </w:tc>
        <w:tc>
          <w:tcPr>
            <w:tcW w:w="0" w:type="auto"/>
            <w:vAlign w:val="center"/>
          </w:tcPr>
          <w:p w14:paraId="0A4B4544" w14:textId="77777777" w:rsidR="006F46BF" w:rsidRDefault="00000000">
            <w:pPr>
              <w:spacing w:beforeAutospacing="1" w:afterAutospacing="1"/>
            </w:pPr>
            <w:r>
              <w:rPr>
                <w:color w:val="000000"/>
                <w:sz w:val="22"/>
              </w:rPr>
              <w:t>Direct Financial Assistance to Homebuyers</w:t>
            </w:r>
          </w:p>
        </w:tc>
        <w:tc>
          <w:tcPr>
            <w:tcW w:w="0" w:type="auto"/>
            <w:vAlign w:val="center"/>
          </w:tcPr>
          <w:p w14:paraId="04AD02E5" w14:textId="77777777" w:rsidR="006F46BF" w:rsidRDefault="00000000">
            <w:pPr>
              <w:spacing w:beforeAutospacing="1" w:afterAutospacing="1"/>
            </w:pPr>
            <w:r>
              <w:rPr>
                <w:color w:val="000000"/>
                <w:sz w:val="22"/>
              </w:rPr>
              <w:t>Households Assisted</w:t>
            </w:r>
          </w:p>
        </w:tc>
        <w:tc>
          <w:tcPr>
            <w:tcW w:w="0" w:type="auto"/>
            <w:vAlign w:val="center"/>
          </w:tcPr>
          <w:p w14:paraId="7C54BFB6" w14:textId="77777777" w:rsidR="006F46BF" w:rsidRDefault="00000000">
            <w:pPr>
              <w:spacing w:beforeAutospacing="1" w:afterAutospacing="1"/>
            </w:pPr>
            <w:r>
              <w:rPr>
                <w:color w:val="000000"/>
                <w:sz w:val="22"/>
              </w:rPr>
              <w:t>20</w:t>
            </w:r>
          </w:p>
        </w:tc>
        <w:tc>
          <w:tcPr>
            <w:tcW w:w="0" w:type="auto"/>
            <w:vAlign w:val="center"/>
          </w:tcPr>
          <w:p w14:paraId="5A4BB5FB" w14:textId="77777777" w:rsidR="006F46BF" w:rsidRDefault="00000000">
            <w:pPr>
              <w:spacing w:beforeAutospacing="1" w:afterAutospacing="1"/>
            </w:pPr>
            <w:r>
              <w:rPr>
                <w:color w:val="000000"/>
                <w:sz w:val="22"/>
              </w:rPr>
              <w:t>22</w:t>
            </w:r>
          </w:p>
        </w:tc>
        <w:tc>
          <w:tcPr>
            <w:tcW w:w="0" w:type="auto"/>
            <w:vAlign w:val="center"/>
          </w:tcPr>
          <w:p w14:paraId="25914A9B" w14:textId="77777777" w:rsidR="006F46BF" w:rsidRDefault="00000000">
            <w:pPr>
              <w:spacing w:beforeAutospacing="1" w:afterAutospacing="1"/>
            </w:pPr>
            <w:r>
              <w:rPr>
                <w:color w:val="000000"/>
                <w:sz w:val="22"/>
              </w:rPr>
              <w:t xml:space="preserve">       110.00%</w:t>
            </w:r>
          </w:p>
        </w:tc>
        <w:tc>
          <w:tcPr>
            <w:tcW w:w="0" w:type="auto"/>
            <w:vAlign w:val="center"/>
          </w:tcPr>
          <w:p w14:paraId="51E7EFC7" w14:textId="77777777" w:rsidR="006F46BF" w:rsidRDefault="00000000">
            <w:pPr>
              <w:spacing w:beforeAutospacing="1" w:afterAutospacing="1"/>
            </w:pPr>
            <w:r>
              <w:rPr>
                <w:color w:val="000000"/>
                <w:sz w:val="22"/>
              </w:rPr>
              <w:t>4</w:t>
            </w:r>
          </w:p>
        </w:tc>
        <w:tc>
          <w:tcPr>
            <w:tcW w:w="0" w:type="auto"/>
            <w:vAlign w:val="center"/>
          </w:tcPr>
          <w:p w14:paraId="49E68C78" w14:textId="77777777" w:rsidR="006F46BF" w:rsidRDefault="00000000">
            <w:pPr>
              <w:spacing w:beforeAutospacing="1" w:afterAutospacing="1"/>
            </w:pPr>
            <w:r>
              <w:rPr>
                <w:color w:val="000000"/>
                <w:sz w:val="22"/>
              </w:rPr>
              <w:t>22</w:t>
            </w:r>
          </w:p>
        </w:tc>
        <w:tc>
          <w:tcPr>
            <w:tcW w:w="0" w:type="auto"/>
            <w:vAlign w:val="center"/>
          </w:tcPr>
          <w:p w14:paraId="2CA7B601" w14:textId="77777777" w:rsidR="006F46BF" w:rsidRDefault="00000000">
            <w:pPr>
              <w:spacing w:beforeAutospacing="1" w:afterAutospacing="1"/>
            </w:pPr>
            <w:r>
              <w:rPr>
                <w:color w:val="000000"/>
                <w:sz w:val="22"/>
              </w:rPr>
              <w:t xml:space="preserve">       550.00%</w:t>
            </w:r>
          </w:p>
        </w:tc>
      </w:tr>
      <w:tr w:rsidR="006F46BF" w14:paraId="631B01D5" w14:textId="77777777">
        <w:trPr>
          <w:cantSplit/>
        </w:trPr>
        <w:tc>
          <w:tcPr>
            <w:tcW w:w="0" w:type="auto"/>
            <w:vAlign w:val="center"/>
          </w:tcPr>
          <w:p w14:paraId="07160B5C" w14:textId="77777777" w:rsidR="006F46BF" w:rsidRDefault="00000000">
            <w:pPr>
              <w:spacing w:beforeAutospacing="1" w:afterAutospacing="1"/>
            </w:pPr>
            <w:r>
              <w:rPr>
                <w:color w:val="000000"/>
                <w:sz w:val="22"/>
              </w:rPr>
              <w:t>Aid in Addressing Homelessness</w:t>
            </w:r>
          </w:p>
        </w:tc>
        <w:tc>
          <w:tcPr>
            <w:tcW w:w="0" w:type="auto"/>
            <w:vAlign w:val="center"/>
          </w:tcPr>
          <w:p w14:paraId="73BE8722" w14:textId="77777777" w:rsidR="006F46BF" w:rsidRDefault="00000000">
            <w:pPr>
              <w:spacing w:beforeAutospacing="1" w:afterAutospacing="1"/>
            </w:pPr>
            <w:r>
              <w:rPr>
                <w:color w:val="000000"/>
                <w:sz w:val="22"/>
              </w:rPr>
              <w:t>Homeless</w:t>
            </w:r>
          </w:p>
        </w:tc>
        <w:tc>
          <w:tcPr>
            <w:tcW w:w="0" w:type="auto"/>
            <w:vAlign w:val="center"/>
          </w:tcPr>
          <w:p w14:paraId="6F5324D3" w14:textId="77777777" w:rsidR="006F46BF" w:rsidRDefault="00000000">
            <w:pPr>
              <w:spacing w:beforeAutospacing="1" w:afterAutospacing="1"/>
            </w:pPr>
            <w:r>
              <w:rPr>
                <w:color w:val="000000"/>
                <w:sz w:val="22"/>
              </w:rPr>
              <w:t>CDBG: $</w:t>
            </w:r>
          </w:p>
        </w:tc>
        <w:tc>
          <w:tcPr>
            <w:tcW w:w="0" w:type="auto"/>
            <w:vAlign w:val="center"/>
          </w:tcPr>
          <w:p w14:paraId="63B8AE0F" w14:textId="77777777" w:rsidR="006F46BF" w:rsidRDefault="00000000">
            <w:pPr>
              <w:spacing w:beforeAutospacing="1" w:afterAutospacing="1"/>
            </w:pPr>
            <w:r>
              <w:rPr>
                <w:color w:val="000000"/>
                <w:sz w:val="22"/>
              </w:rPr>
              <w:t>Public service activities other than Low/Moderate Income Housing Benefit</w:t>
            </w:r>
          </w:p>
        </w:tc>
        <w:tc>
          <w:tcPr>
            <w:tcW w:w="0" w:type="auto"/>
            <w:vAlign w:val="center"/>
          </w:tcPr>
          <w:p w14:paraId="3EFA5595" w14:textId="77777777" w:rsidR="006F46BF" w:rsidRDefault="00000000">
            <w:pPr>
              <w:spacing w:beforeAutospacing="1" w:afterAutospacing="1"/>
            </w:pPr>
            <w:r>
              <w:rPr>
                <w:color w:val="000000"/>
                <w:sz w:val="22"/>
              </w:rPr>
              <w:t>Persons Assisted</w:t>
            </w:r>
          </w:p>
        </w:tc>
        <w:tc>
          <w:tcPr>
            <w:tcW w:w="0" w:type="auto"/>
            <w:vAlign w:val="center"/>
          </w:tcPr>
          <w:p w14:paraId="24B210B1" w14:textId="77777777" w:rsidR="006F46BF" w:rsidRDefault="00000000">
            <w:pPr>
              <w:spacing w:beforeAutospacing="1" w:afterAutospacing="1"/>
            </w:pPr>
            <w:r>
              <w:rPr>
                <w:color w:val="000000"/>
                <w:sz w:val="22"/>
              </w:rPr>
              <w:t>0</w:t>
            </w:r>
          </w:p>
        </w:tc>
        <w:tc>
          <w:tcPr>
            <w:tcW w:w="0" w:type="auto"/>
            <w:vAlign w:val="center"/>
          </w:tcPr>
          <w:p w14:paraId="5E372ECA" w14:textId="77777777" w:rsidR="006F46BF" w:rsidRDefault="00000000">
            <w:pPr>
              <w:spacing w:beforeAutospacing="1" w:afterAutospacing="1"/>
            </w:pPr>
            <w:r>
              <w:rPr>
                <w:color w:val="000000"/>
                <w:sz w:val="22"/>
              </w:rPr>
              <w:t>0</w:t>
            </w:r>
          </w:p>
        </w:tc>
        <w:tc>
          <w:tcPr>
            <w:tcW w:w="0" w:type="auto"/>
            <w:vAlign w:val="center"/>
          </w:tcPr>
          <w:p w14:paraId="060AE915" w14:textId="77777777" w:rsidR="006F46BF" w:rsidRDefault="00000000">
            <w:pPr>
              <w:spacing w:beforeAutospacing="1" w:afterAutospacing="1"/>
            </w:pPr>
            <w:r>
              <w:rPr>
                <w:color w:val="000000"/>
                <w:sz w:val="22"/>
              </w:rPr>
              <w:t xml:space="preserve"> </w:t>
            </w:r>
          </w:p>
        </w:tc>
        <w:tc>
          <w:tcPr>
            <w:tcW w:w="0" w:type="auto"/>
            <w:vAlign w:val="center"/>
          </w:tcPr>
          <w:p w14:paraId="6B9C7B1B" w14:textId="77777777" w:rsidR="006F46BF" w:rsidRDefault="00000000">
            <w:pPr>
              <w:spacing w:beforeAutospacing="1" w:afterAutospacing="1"/>
            </w:pPr>
            <w:r>
              <w:rPr>
                <w:color w:val="000000"/>
                <w:sz w:val="22"/>
              </w:rPr>
              <w:t>40</w:t>
            </w:r>
          </w:p>
        </w:tc>
        <w:tc>
          <w:tcPr>
            <w:tcW w:w="0" w:type="auto"/>
            <w:vAlign w:val="center"/>
          </w:tcPr>
          <w:p w14:paraId="6D2BA8A7" w14:textId="77777777" w:rsidR="006F46BF" w:rsidRDefault="00000000">
            <w:pPr>
              <w:spacing w:beforeAutospacing="1" w:afterAutospacing="1"/>
            </w:pPr>
            <w:r>
              <w:rPr>
                <w:color w:val="000000"/>
                <w:sz w:val="22"/>
              </w:rPr>
              <w:t>570</w:t>
            </w:r>
          </w:p>
        </w:tc>
        <w:tc>
          <w:tcPr>
            <w:tcW w:w="0" w:type="auto"/>
            <w:vAlign w:val="center"/>
          </w:tcPr>
          <w:p w14:paraId="3EF1F399" w14:textId="77777777" w:rsidR="006F46BF" w:rsidRDefault="00000000">
            <w:pPr>
              <w:spacing w:beforeAutospacing="1" w:afterAutospacing="1"/>
            </w:pPr>
            <w:r>
              <w:rPr>
                <w:color w:val="000000"/>
                <w:sz w:val="22"/>
              </w:rPr>
              <w:t xml:space="preserve">     1,425.00%</w:t>
            </w:r>
          </w:p>
        </w:tc>
      </w:tr>
      <w:tr w:rsidR="006F46BF" w14:paraId="480E548B" w14:textId="77777777">
        <w:trPr>
          <w:cantSplit/>
        </w:trPr>
        <w:tc>
          <w:tcPr>
            <w:tcW w:w="0" w:type="auto"/>
            <w:vAlign w:val="center"/>
          </w:tcPr>
          <w:p w14:paraId="1E222CA3" w14:textId="77777777" w:rsidR="006F46BF" w:rsidRDefault="00000000">
            <w:pPr>
              <w:spacing w:beforeAutospacing="1" w:afterAutospacing="1"/>
            </w:pPr>
            <w:r>
              <w:rPr>
                <w:color w:val="000000"/>
                <w:sz w:val="22"/>
              </w:rPr>
              <w:lastRenderedPageBreak/>
              <w:t>Aid in Addressing Homelessness</w:t>
            </w:r>
          </w:p>
        </w:tc>
        <w:tc>
          <w:tcPr>
            <w:tcW w:w="0" w:type="auto"/>
            <w:vAlign w:val="center"/>
          </w:tcPr>
          <w:p w14:paraId="20171E0B" w14:textId="77777777" w:rsidR="006F46BF" w:rsidRDefault="00000000">
            <w:pPr>
              <w:spacing w:beforeAutospacing="1" w:afterAutospacing="1"/>
            </w:pPr>
            <w:r>
              <w:rPr>
                <w:color w:val="000000"/>
                <w:sz w:val="22"/>
              </w:rPr>
              <w:t>Homeless</w:t>
            </w:r>
          </w:p>
        </w:tc>
        <w:tc>
          <w:tcPr>
            <w:tcW w:w="0" w:type="auto"/>
            <w:vAlign w:val="center"/>
          </w:tcPr>
          <w:p w14:paraId="31E841A5" w14:textId="77777777" w:rsidR="006F46BF" w:rsidRDefault="00000000">
            <w:pPr>
              <w:spacing w:beforeAutospacing="1" w:afterAutospacing="1"/>
            </w:pPr>
            <w:r>
              <w:rPr>
                <w:color w:val="000000"/>
                <w:sz w:val="22"/>
              </w:rPr>
              <w:t>CDBG: $</w:t>
            </w:r>
          </w:p>
        </w:tc>
        <w:tc>
          <w:tcPr>
            <w:tcW w:w="0" w:type="auto"/>
            <w:vAlign w:val="center"/>
          </w:tcPr>
          <w:p w14:paraId="362B32E1" w14:textId="77777777" w:rsidR="006F46BF" w:rsidRDefault="00000000">
            <w:pPr>
              <w:spacing w:beforeAutospacing="1" w:afterAutospacing="1"/>
            </w:pPr>
            <w:r>
              <w:rPr>
                <w:color w:val="000000"/>
                <w:sz w:val="22"/>
              </w:rPr>
              <w:t>Other</w:t>
            </w:r>
          </w:p>
        </w:tc>
        <w:tc>
          <w:tcPr>
            <w:tcW w:w="0" w:type="auto"/>
            <w:vAlign w:val="center"/>
          </w:tcPr>
          <w:p w14:paraId="324BB6B5" w14:textId="77777777" w:rsidR="006F46BF" w:rsidRDefault="00000000">
            <w:pPr>
              <w:spacing w:beforeAutospacing="1" w:afterAutospacing="1"/>
            </w:pPr>
            <w:r>
              <w:rPr>
                <w:color w:val="000000"/>
                <w:sz w:val="22"/>
              </w:rPr>
              <w:t>Other</w:t>
            </w:r>
          </w:p>
        </w:tc>
        <w:tc>
          <w:tcPr>
            <w:tcW w:w="0" w:type="auto"/>
            <w:vAlign w:val="center"/>
          </w:tcPr>
          <w:p w14:paraId="1DAD16D9" w14:textId="77777777" w:rsidR="006F46BF" w:rsidRDefault="00000000">
            <w:pPr>
              <w:spacing w:beforeAutospacing="1" w:afterAutospacing="1"/>
            </w:pPr>
            <w:r>
              <w:rPr>
                <w:color w:val="000000"/>
                <w:sz w:val="22"/>
              </w:rPr>
              <w:t>500</w:t>
            </w:r>
          </w:p>
        </w:tc>
        <w:tc>
          <w:tcPr>
            <w:tcW w:w="0" w:type="auto"/>
            <w:vAlign w:val="center"/>
          </w:tcPr>
          <w:p w14:paraId="14523530" w14:textId="77777777" w:rsidR="006F46BF" w:rsidRDefault="00000000">
            <w:pPr>
              <w:spacing w:beforeAutospacing="1" w:afterAutospacing="1"/>
            </w:pPr>
            <w:r>
              <w:rPr>
                <w:color w:val="000000"/>
                <w:sz w:val="22"/>
              </w:rPr>
              <w:t>0</w:t>
            </w:r>
          </w:p>
        </w:tc>
        <w:tc>
          <w:tcPr>
            <w:tcW w:w="0" w:type="auto"/>
            <w:vAlign w:val="center"/>
          </w:tcPr>
          <w:p w14:paraId="30CF2850" w14:textId="77777777" w:rsidR="006F46BF" w:rsidRDefault="00000000">
            <w:pPr>
              <w:spacing w:beforeAutospacing="1" w:afterAutospacing="1"/>
            </w:pPr>
            <w:r>
              <w:rPr>
                <w:color w:val="000000"/>
                <w:sz w:val="22"/>
              </w:rPr>
              <w:t xml:space="preserve">         0.00%</w:t>
            </w:r>
          </w:p>
        </w:tc>
        <w:tc>
          <w:tcPr>
            <w:tcW w:w="0" w:type="auto"/>
            <w:vAlign w:val="center"/>
          </w:tcPr>
          <w:p w14:paraId="164A4F8B" w14:textId="77777777" w:rsidR="006F46BF" w:rsidRDefault="00000000">
            <w:pPr>
              <w:spacing w:beforeAutospacing="1" w:afterAutospacing="1"/>
            </w:pPr>
            <w:r>
              <w:rPr>
                <w:color w:val="000000"/>
                <w:sz w:val="22"/>
              </w:rPr>
              <w:t xml:space="preserve"> </w:t>
            </w:r>
          </w:p>
        </w:tc>
        <w:tc>
          <w:tcPr>
            <w:tcW w:w="0" w:type="auto"/>
            <w:vAlign w:val="center"/>
          </w:tcPr>
          <w:p w14:paraId="3BDA501A" w14:textId="77777777" w:rsidR="006F46BF" w:rsidRDefault="00000000">
            <w:pPr>
              <w:spacing w:beforeAutospacing="1" w:afterAutospacing="1"/>
            </w:pPr>
            <w:r>
              <w:rPr>
                <w:color w:val="000000"/>
                <w:sz w:val="22"/>
              </w:rPr>
              <w:t xml:space="preserve"> </w:t>
            </w:r>
          </w:p>
        </w:tc>
        <w:tc>
          <w:tcPr>
            <w:tcW w:w="0" w:type="auto"/>
            <w:vAlign w:val="center"/>
          </w:tcPr>
          <w:p w14:paraId="413FCFA9" w14:textId="77777777" w:rsidR="006F46BF" w:rsidRDefault="00000000">
            <w:pPr>
              <w:spacing w:beforeAutospacing="1" w:afterAutospacing="1"/>
            </w:pPr>
            <w:r>
              <w:rPr>
                <w:color w:val="000000"/>
                <w:sz w:val="22"/>
              </w:rPr>
              <w:t xml:space="preserve"> </w:t>
            </w:r>
          </w:p>
        </w:tc>
      </w:tr>
      <w:tr w:rsidR="006F46BF" w14:paraId="15C2BC62" w14:textId="77777777">
        <w:trPr>
          <w:cantSplit/>
        </w:trPr>
        <w:tc>
          <w:tcPr>
            <w:tcW w:w="0" w:type="auto"/>
            <w:vAlign w:val="center"/>
          </w:tcPr>
          <w:p w14:paraId="68CE43A4" w14:textId="77777777" w:rsidR="006F46BF" w:rsidRDefault="00000000">
            <w:pPr>
              <w:spacing w:beforeAutospacing="1" w:afterAutospacing="1"/>
            </w:pPr>
            <w:r>
              <w:rPr>
                <w:color w:val="000000"/>
                <w:sz w:val="22"/>
              </w:rPr>
              <w:t>Clearance &amp; Demolition</w:t>
            </w:r>
          </w:p>
        </w:tc>
        <w:tc>
          <w:tcPr>
            <w:tcW w:w="0" w:type="auto"/>
            <w:vAlign w:val="center"/>
          </w:tcPr>
          <w:p w14:paraId="4C05E10A" w14:textId="77777777" w:rsidR="006F46BF" w:rsidRDefault="00000000">
            <w:pPr>
              <w:spacing w:beforeAutospacing="1" w:afterAutospacing="1"/>
            </w:pPr>
            <w:r>
              <w:rPr>
                <w:color w:val="000000"/>
                <w:sz w:val="22"/>
              </w:rPr>
              <w:t>Non-Housing Community Development</w:t>
            </w:r>
          </w:p>
        </w:tc>
        <w:tc>
          <w:tcPr>
            <w:tcW w:w="0" w:type="auto"/>
            <w:vAlign w:val="center"/>
          </w:tcPr>
          <w:p w14:paraId="18971D25" w14:textId="77777777" w:rsidR="006F46BF" w:rsidRDefault="00000000">
            <w:pPr>
              <w:spacing w:beforeAutospacing="1" w:afterAutospacing="1"/>
            </w:pPr>
            <w:r>
              <w:rPr>
                <w:color w:val="000000"/>
                <w:sz w:val="22"/>
              </w:rPr>
              <w:t>CDBG: $</w:t>
            </w:r>
          </w:p>
        </w:tc>
        <w:tc>
          <w:tcPr>
            <w:tcW w:w="0" w:type="auto"/>
            <w:vAlign w:val="center"/>
          </w:tcPr>
          <w:p w14:paraId="7845C61E" w14:textId="77777777" w:rsidR="006F46BF" w:rsidRDefault="00000000">
            <w:pPr>
              <w:spacing w:beforeAutospacing="1" w:afterAutospacing="1"/>
            </w:pPr>
            <w:r>
              <w:rPr>
                <w:color w:val="000000"/>
                <w:sz w:val="22"/>
              </w:rPr>
              <w:t>Buildings Demolished</w:t>
            </w:r>
          </w:p>
        </w:tc>
        <w:tc>
          <w:tcPr>
            <w:tcW w:w="0" w:type="auto"/>
            <w:vAlign w:val="center"/>
          </w:tcPr>
          <w:p w14:paraId="27CE5726" w14:textId="77777777" w:rsidR="006F46BF" w:rsidRDefault="00000000">
            <w:pPr>
              <w:spacing w:beforeAutospacing="1" w:afterAutospacing="1"/>
            </w:pPr>
            <w:r>
              <w:rPr>
                <w:color w:val="000000"/>
                <w:sz w:val="22"/>
              </w:rPr>
              <w:t>Buildings</w:t>
            </w:r>
          </w:p>
        </w:tc>
        <w:tc>
          <w:tcPr>
            <w:tcW w:w="0" w:type="auto"/>
            <w:vAlign w:val="center"/>
          </w:tcPr>
          <w:p w14:paraId="31F21629" w14:textId="77777777" w:rsidR="006F46BF" w:rsidRDefault="00000000">
            <w:pPr>
              <w:spacing w:beforeAutospacing="1" w:afterAutospacing="1"/>
            </w:pPr>
            <w:r>
              <w:rPr>
                <w:color w:val="000000"/>
                <w:sz w:val="22"/>
              </w:rPr>
              <w:t>5</w:t>
            </w:r>
          </w:p>
        </w:tc>
        <w:tc>
          <w:tcPr>
            <w:tcW w:w="0" w:type="auto"/>
            <w:vAlign w:val="center"/>
          </w:tcPr>
          <w:p w14:paraId="2F48F611" w14:textId="77777777" w:rsidR="006F46BF" w:rsidRDefault="00000000">
            <w:pPr>
              <w:spacing w:beforeAutospacing="1" w:afterAutospacing="1"/>
            </w:pPr>
            <w:r>
              <w:rPr>
                <w:color w:val="000000"/>
                <w:sz w:val="22"/>
              </w:rPr>
              <w:t>0</w:t>
            </w:r>
          </w:p>
        </w:tc>
        <w:tc>
          <w:tcPr>
            <w:tcW w:w="0" w:type="auto"/>
            <w:vAlign w:val="center"/>
          </w:tcPr>
          <w:p w14:paraId="1D14B57B" w14:textId="77777777" w:rsidR="006F46BF" w:rsidRDefault="00000000">
            <w:pPr>
              <w:spacing w:beforeAutospacing="1" w:afterAutospacing="1"/>
            </w:pPr>
            <w:r>
              <w:rPr>
                <w:color w:val="000000"/>
                <w:sz w:val="22"/>
              </w:rPr>
              <w:t xml:space="preserve">         0.00%</w:t>
            </w:r>
          </w:p>
        </w:tc>
        <w:tc>
          <w:tcPr>
            <w:tcW w:w="0" w:type="auto"/>
            <w:vAlign w:val="center"/>
          </w:tcPr>
          <w:p w14:paraId="3E82F837" w14:textId="77777777" w:rsidR="006F46BF" w:rsidRDefault="00000000">
            <w:pPr>
              <w:spacing w:beforeAutospacing="1" w:afterAutospacing="1"/>
            </w:pPr>
            <w:r>
              <w:rPr>
                <w:color w:val="000000"/>
                <w:sz w:val="22"/>
              </w:rPr>
              <w:t>1</w:t>
            </w:r>
          </w:p>
        </w:tc>
        <w:tc>
          <w:tcPr>
            <w:tcW w:w="0" w:type="auto"/>
            <w:vAlign w:val="center"/>
          </w:tcPr>
          <w:p w14:paraId="4179293A" w14:textId="77777777" w:rsidR="006F46BF" w:rsidRDefault="00000000">
            <w:pPr>
              <w:spacing w:beforeAutospacing="1" w:afterAutospacing="1"/>
            </w:pPr>
            <w:r>
              <w:rPr>
                <w:color w:val="000000"/>
                <w:sz w:val="22"/>
              </w:rPr>
              <w:t>0</w:t>
            </w:r>
          </w:p>
        </w:tc>
        <w:tc>
          <w:tcPr>
            <w:tcW w:w="0" w:type="auto"/>
            <w:vAlign w:val="center"/>
          </w:tcPr>
          <w:p w14:paraId="602F6857" w14:textId="77777777" w:rsidR="006F46BF" w:rsidRDefault="00000000">
            <w:pPr>
              <w:spacing w:beforeAutospacing="1" w:afterAutospacing="1"/>
            </w:pPr>
            <w:r>
              <w:rPr>
                <w:color w:val="000000"/>
                <w:sz w:val="22"/>
              </w:rPr>
              <w:t xml:space="preserve">         0.00%</w:t>
            </w:r>
          </w:p>
        </w:tc>
      </w:tr>
      <w:tr w:rsidR="006F46BF" w14:paraId="4DE4902F" w14:textId="77777777">
        <w:trPr>
          <w:cantSplit/>
        </w:trPr>
        <w:tc>
          <w:tcPr>
            <w:tcW w:w="0" w:type="auto"/>
            <w:vAlign w:val="center"/>
          </w:tcPr>
          <w:p w14:paraId="6AC1A8DB" w14:textId="77777777" w:rsidR="006F46BF" w:rsidRDefault="00000000">
            <w:pPr>
              <w:spacing w:beforeAutospacing="1" w:afterAutospacing="1"/>
            </w:pPr>
            <w:r>
              <w:rPr>
                <w:color w:val="000000"/>
                <w:sz w:val="22"/>
              </w:rPr>
              <w:t>Development of Affordable Rental Housing</w:t>
            </w:r>
          </w:p>
        </w:tc>
        <w:tc>
          <w:tcPr>
            <w:tcW w:w="0" w:type="auto"/>
            <w:vAlign w:val="center"/>
          </w:tcPr>
          <w:p w14:paraId="2277CEAC" w14:textId="77777777" w:rsidR="006F46BF" w:rsidRDefault="00000000">
            <w:pPr>
              <w:spacing w:beforeAutospacing="1" w:afterAutospacing="1"/>
            </w:pPr>
            <w:r>
              <w:rPr>
                <w:color w:val="000000"/>
                <w:sz w:val="22"/>
              </w:rPr>
              <w:t>Affordable Housing</w:t>
            </w:r>
          </w:p>
        </w:tc>
        <w:tc>
          <w:tcPr>
            <w:tcW w:w="0" w:type="auto"/>
            <w:vAlign w:val="center"/>
          </w:tcPr>
          <w:p w14:paraId="694072A6" w14:textId="77777777" w:rsidR="006F46BF" w:rsidRDefault="00000000">
            <w:pPr>
              <w:spacing w:beforeAutospacing="1" w:afterAutospacing="1"/>
            </w:pPr>
            <w:r>
              <w:rPr>
                <w:color w:val="000000"/>
                <w:sz w:val="22"/>
              </w:rPr>
              <w:t>HOME: $</w:t>
            </w:r>
          </w:p>
        </w:tc>
        <w:tc>
          <w:tcPr>
            <w:tcW w:w="0" w:type="auto"/>
            <w:vAlign w:val="center"/>
          </w:tcPr>
          <w:p w14:paraId="687B4629" w14:textId="77777777" w:rsidR="006F46BF" w:rsidRDefault="00000000">
            <w:pPr>
              <w:spacing w:beforeAutospacing="1" w:afterAutospacing="1"/>
            </w:pPr>
            <w:r>
              <w:rPr>
                <w:color w:val="000000"/>
                <w:sz w:val="22"/>
              </w:rPr>
              <w:t>Rental units constructed</w:t>
            </w:r>
          </w:p>
        </w:tc>
        <w:tc>
          <w:tcPr>
            <w:tcW w:w="0" w:type="auto"/>
            <w:vAlign w:val="center"/>
          </w:tcPr>
          <w:p w14:paraId="5C3F7666" w14:textId="77777777" w:rsidR="006F46BF" w:rsidRDefault="00000000">
            <w:pPr>
              <w:spacing w:beforeAutospacing="1" w:afterAutospacing="1"/>
            </w:pPr>
            <w:r>
              <w:rPr>
                <w:color w:val="000000"/>
                <w:sz w:val="22"/>
              </w:rPr>
              <w:t>Household Housing Unit</w:t>
            </w:r>
          </w:p>
        </w:tc>
        <w:tc>
          <w:tcPr>
            <w:tcW w:w="0" w:type="auto"/>
            <w:vAlign w:val="center"/>
          </w:tcPr>
          <w:p w14:paraId="09AE094A" w14:textId="77777777" w:rsidR="006F46BF" w:rsidRDefault="00000000">
            <w:pPr>
              <w:spacing w:beforeAutospacing="1" w:afterAutospacing="1"/>
            </w:pPr>
            <w:r>
              <w:rPr>
                <w:color w:val="000000"/>
                <w:sz w:val="22"/>
              </w:rPr>
              <w:t>4</w:t>
            </w:r>
          </w:p>
        </w:tc>
        <w:tc>
          <w:tcPr>
            <w:tcW w:w="0" w:type="auto"/>
            <w:vAlign w:val="center"/>
          </w:tcPr>
          <w:p w14:paraId="74A71460" w14:textId="77777777" w:rsidR="006F46BF" w:rsidRDefault="00000000">
            <w:pPr>
              <w:spacing w:beforeAutospacing="1" w:afterAutospacing="1"/>
            </w:pPr>
            <w:r>
              <w:rPr>
                <w:color w:val="000000"/>
                <w:sz w:val="22"/>
              </w:rPr>
              <w:t>0</w:t>
            </w:r>
          </w:p>
        </w:tc>
        <w:tc>
          <w:tcPr>
            <w:tcW w:w="0" w:type="auto"/>
            <w:vAlign w:val="center"/>
          </w:tcPr>
          <w:p w14:paraId="48C5A56E" w14:textId="77777777" w:rsidR="006F46BF" w:rsidRDefault="00000000">
            <w:pPr>
              <w:spacing w:beforeAutospacing="1" w:afterAutospacing="1"/>
            </w:pPr>
            <w:r>
              <w:rPr>
                <w:color w:val="000000"/>
                <w:sz w:val="22"/>
              </w:rPr>
              <w:t xml:space="preserve">         0.00%</w:t>
            </w:r>
          </w:p>
        </w:tc>
        <w:tc>
          <w:tcPr>
            <w:tcW w:w="0" w:type="auto"/>
            <w:vAlign w:val="center"/>
          </w:tcPr>
          <w:p w14:paraId="61683EDB" w14:textId="77777777" w:rsidR="006F46BF" w:rsidRDefault="00000000">
            <w:pPr>
              <w:spacing w:beforeAutospacing="1" w:afterAutospacing="1"/>
            </w:pPr>
            <w:r>
              <w:rPr>
                <w:color w:val="000000"/>
                <w:sz w:val="22"/>
              </w:rPr>
              <w:t xml:space="preserve"> </w:t>
            </w:r>
          </w:p>
        </w:tc>
        <w:tc>
          <w:tcPr>
            <w:tcW w:w="0" w:type="auto"/>
            <w:vAlign w:val="center"/>
          </w:tcPr>
          <w:p w14:paraId="774045DA" w14:textId="77777777" w:rsidR="006F46BF" w:rsidRDefault="00000000">
            <w:pPr>
              <w:spacing w:beforeAutospacing="1" w:afterAutospacing="1"/>
            </w:pPr>
            <w:r>
              <w:rPr>
                <w:color w:val="000000"/>
                <w:sz w:val="22"/>
              </w:rPr>
              <w:t xml:space="preserve"> </w:t>
            </w:r>
          </w:p>
        </w:tc>
        <w:tc>
          <w:tcPr>
            <w:tcW w:w="0" w:type="auto"/>
            <w:vAlign w:val="center"/>
          </w:tcPr>
          <w:p w14:paraId="77C4A46B" w14:textId="77777777" w:rsidR="006F46BF" w:rsidRDefault="00000000">
            <w:pPr>
              <w:spacing w:beforeAutospacing="1" w:afterAutospacing="1"/>
            </w:pPr>
            <w:r>
              <w:rPr>
                <w:color w:val="000000"/>
                <w:sz w:val="22"/>
              </w:rPr>
              <w:t xml:space="preserve"> </w:t>
            </w:r>
          </w:p>
        </w:tc>
      </w:tr>
      <w:tr w:rsidR="006F46BF" w14:paraId="43182815" w14:textId="77777777">
        <w:trPr>
          <w:cantSplit/>
        </w:trPr>
        <w:tc>
          <w:tcPr>
            <w:tcW w:w="0" w:type="auto"/>
            <w:vAlign w:val="center"/>
          </w:tcPr>
          <w:p w14:paraId="547C49E4" w14:textId="77777777" w:rsidR="006F46BF" w:rsidRDefault="00000000">
            <w:pPr>
              <w:spacing w:beforeAutospacing="1" w:afterAutospacing="1"/>
            </w:pPr>
            <w:r>
              <w:rPr>
                <w:color w:val="000000"/>
                <w:sz w:val="22"/>
              </w:rPr>
              <w:t>Economic Development</w:t>
            </w:r>
          </w:p>
        </w:tc>
        <w:tc>
          <w:tcPr>
            <w:tcW w:w="0" w:type="auto"/>
            <w:vAlign w:val="center"/>
          </w:tcPr>
          <w:p w14:paraId="3F2BA278" w14:textId="77777777" w:rsidR="006F46BF" w:rsidRDefault="00000000">
            <w:pPr>
              <w:spacing w:beforeAutospacing="1" w:afterAutospacing="1"/>
            </w:pPr>
            <w:r>
              <w:rPr>
                <w:color w:val="000000"/>
                <w:sz w:val="22"/>
              </w:rPr>
              <w:t>Non-Housing Community Development</w:t>
            </w:r>
          </w:p>
        </w:tc>
        <w:tc>
          <w:tcPr>
            <w:tcW w:w="0" w:type="auto"/>
            <w:vAlign w:val="center"/>
          </w:tcPr>
          <w:p w14:paraId="0804ABFD" w14:textId="77777777" w:rsidR="006F46BF" w:rsidRDefault="00000000">
            <w:pPr>
              <w:spacing w:beforeAutospacing="1" w:afterAutospacing="1"/>
            </w:pPr>
            <w:r>
              <w:rPr>
                <w:color w:val="000000"/>
                <w:sz w:val="22"/>
              </w:rPr>
              <w:t>CDBG: $</w:t>
            </w:r>
          </w:p>
        </w:tc>
        <w:tc>
          <w:tcPr>
            <w:tcW w:w="0" w:type="auto"/>
            <w:vAlign w:val="center"/>
          </w:tcPr>
          <w:p w14:paraId="3646CCF2" w14:textId="77777777" w:rsidR="006F46BF" w:rsidRDefault="00000000">
            <w:pPr>
              <w:spacing w:beforeAutospacing="1" w:afterAutospacing="1"/>
            </w:pPr>
            <w:r>
              <w:rPr>
                <w:color w:val="000000"/>
                <w:sz w:val="22"/>
              </w:rPr>
              <w:t>Jobs created/retained</w:t>
            </w:r>
          </w:p>
        </w:tc>
        <w:tc>
          <w:tcPr>
            <w:tcW w:w="0" w:type="auto"/>
            <w:vAlign w:val="center"/>
          </w:tcPr>
          <w:p w14:paraId="5531370E" w14:textId="77777777" w:rsidR="006F46BF" w:rsidRDefault="00000000">
            <w:pPr>
              <w:spacing w:beforeAutospacing="1" w:afterAutospacing="1"/>
            </w:pPr>
            <w:r>
              <w:rPr>
                <w:color w:val="000000"/>
                <w:sz w:val="22"/>
              </w:rPr>
              <w:t>Jobs</w:t>
            </w:r>
          </w:p>
        </w:tc>
        <w:tc>
          <w:tcPr>
            <w:tcW w:w="0" w:type="auto"/>
            <w:vAlign w:val="center"/>
          </w:tcPr>
          <w:p w14:paraId="5C19F771" w14:textId="77777777" w:rsidR="006F46BF" w:rsidRDefault="00000000">
            <w:pPr>
              <w:spacing w:beforeAutospacing="1" w:afterAutospacing="1"/>
            </w:pPr>
            <w:r>
              <w:rPr>
                <w:color w:val="000000"/>
                <w:sz w:val="22"/>
              </w:rPr>
              <w:t>5</w:t>
            </w:r>
          </w:p>
        </w:tc>
        <w:tc>
          <w:tcPr>
            <w:tcW w:w="0" w:type="auto"/>
            <w:vAlign w:val="center"/>
          </w:tcPr>
          <w:p w14:paraId="6B367E58" w14:textId="77777777" w:rsidR="006F46BF" w:rsidRDefault="00000000">
            <w:pPr>
              <w:spacing w:beforeAutospacing="1" w:afterAutospacing="1"/>
            </w:pPr>
            <w:r>
              <w:rPr>
                <w:color w:val="000000"/>
                <w:sz w:val="22"/>
              </w:rPr>
              <w:t>0</w:t>
            </w:r>
          </w:p>
        </w:tc>
        <w:tc>
          <w:tcPr>
            <w:tcW w:w="0" w:type="auto"/>
            <w:vAlign w:val="center"/>
          </w:tcPr>
          <w:p w14:paraId="2499DD12" w14:textId="77777777" w:rsidR="006F46BF" w:rsidRDefault="00000000">
            <w:pPr>
              <w:spacing w:beforeAutospacing="1" w:afterAutospacing="1"/>
            </w:pPr>
            <w:r>
              <w:rPr>
                <w:color w:val="000000"/>
                <w:sz w:val="22"/>
              </w:rPr>
              <w:t xml:space="preserve">         0.00%</w:t>
            </w:r>
          </w:p>
        </w:tc>
        <w:tc>
          <w:tcPr>
            <w:tcW w:w="0" w:type="auto"/>
            <w:vAlign w:val="center"/>
          </w:tcPr>
          <w:p w14:paraId="3DC2D2FB" w14:textId="77777777" w:rsidR="006F46BF" w:rsidRDefault="00000000">
            <w:pPr>
              <w:spacing w:beforeAutospacing="1" w:afterAutospacing="1"/>
            </w:pPr>
            <w:r>
              <w:rPr>
                <w:color w:val="000000"/>
                <w:sz w:val="22"/>
              </w:rPr>
              <w:t>1</w:t>
            </w:r>
          </w:p>
        </w:tc>
        <w:tc>
          <w:tcPr>
            <w:tcW w:w="0" w:type="auto"/>
            <w:vAlign w:val="center"/>
          </w:tcPr>
          <w:p w14:paraId="7624C00C" w14:textId="77777777" w:rsidR="006F46BF" w:rsidRDefault="00000000">
            <w:pPr>
              <w:spacing w:beforeAutospacing="1" w:afterAutospacing="1"/>
            </w:pPr>
            <w:r>
              <w:rPr>
                <w:color w:val="000000"/>
                <w:sz w:val="22"/>
              </w:rPr>
              <w:t>0</w:t>
            </w:r>
          </w:p>
        </w:tc>
        <w:tc>
          <w:tcPr>
            <w:tcW w:w="0" w:type="auto"/>
            <w:vAlign w:val="center"/>
          </w:tcPr>
          <w:p w14:paraId="7AE87688" w14:textId="77777777" w:rsidR="006F46BF" w:rsidRDefault="00000000">
            <w:pPr>
              <w:spacing w:beforeAutospacing="1" w:afterAutospacing="1"/>
            </w:pPr>
            <w:r>
              <w:rPr>
                <w:color w:val="000000"/>
                <w:sz w:val="22"/>
              </w:rPr>
              <w:t xml:space="preserve">         0.00%</w:t>
            </w:r>
          </w:p>
        </w:tc>
      </w:tr>
      <w:tr w:rsidR="006F46BF" w14:paraId="63C6DDA7" w14:textId="77777777">
        <w:trPr>
          <w:cantSplit/>
        </w:trPr>
        <w:tc>
          <w:tcPr>
            <w:tcW w:w="0" w:type="auto"/>
            <w:vAlign w:val="center"/>
          </w:tcPr>
          <w:p w14:paraId="10C67E08" w14:textId="77777777" w:rsidR="006F46BF" w:rsidRDefault="00000000">
            <w:pPr>
              <w:spacing w:beforeAutospacing="1" w:afterAutospacing="1"/>
            </w:pPr>
            <w:r>
              <w:rPr>
                <w:color w:val="000000"/>
                <w:sz w:val="22"/>
              </w:rPr>
              <w:t>Economic Development</w:t>
            </w:r>
          </w:p>
        </w:tc>
        <w:tc>
          <w:tcPr>
            <w:tcW w:w="0" w:type="auto"/>
            <w:vAlign w:val="center"/>
          </w:tcPr>
          <w:p w14:paraId="29DDA890" w14:textId="77777777" w:rsidR="006F46BF" w:rsidRDefault="00000000">
            <w:pPr>
              <w:spacing w:beforeAutospacing="1" w:afterAutospacing="1"/>
            </w:pPr>
            <w:r>
              <w:rPr>
                <w:color w:val="000000"/>
                <w:sz w:val="22"/>
              </w:rPr>
              <w:t>Non-Housing Community Development</w:t>
            </w:r>
          </w:p>
        </w:tc>
        <w:tc>
          <w:tcPr>
            <w:tcW w:w="0" w:type="auto"/>
            <w:vAlign w:val="center"/>
          </w:tcPr>
          <w:p w14:paraId="379863DF" w14:textId="77777777" w:rsidR="006F46BF" w:rsidRDefault="00000000">
            <w:pPr>
              <w:spacing w:beforeAutospacing="1" w:afterAutospacing="1"/>
            </w:pPr>
            <w:r>
              <w:rPr>
                <w:color w:val="000000"/>
                <w:sz w:val="22"/>
              </w:rPr>
              <w:t>CDBG: $</w:t>
            </w:r>
          </w:p>
        </w:tc>
        <w:tc>
          <w:tcPr>
            <w:tcW w:w="0" w:type="auto"/>
            <w:vAlign w:val="center"/>
          </w:tcPr>
          <w:p w14:paraId="6C3C2765" w14:textId="77777777" w:rsidR="006F46BF" w:rsidRDefault="00000000">
            <w:pPr>
              <w:spacing w:beforeAutospacing="1" w:afterAutospacing="1"/>
            </w:pPr>
            <w:r>
              <w:rPr>
                <w:color w:val="000000"/>
                <w:sz w:val="22"/>
              </w:rPr>
              <w:t>Businesses assisted</w:t>
            </w:r>
          </w:p>
        </w:tc>
        <w:tc>
          <w:tcPr>
            <w:tcW w:w="0" w:type="auto"/>
            <w:vAlign w:val="center"/>
          </w:tcPr>
          <w:p w14:paraId="5AC02F2C" w14:textId="77777777" w:rsidR="006F46BF" w:rsidRDefault="00000000">
            <w:pPr>
              <w:spacing w:beforeAutospacing="1" w:afterAutospacing="1"/>
            </w:pPr>
            <w:r>
              <w:rPr>
                <w:color w:val="000000"/>
                <w:sz w:val="22"/>
              </w:rPr>
              <w:t>Businesses Assisted</w:t>
            </w:r>
          </w:p>
        </w:tc>
        <w:tc>
          <w:tcPr>
            <w:tcW w:w="0" w:type="auto"/>
            <w:vAlign w:val="center"/>
          </w:tcPr>
          <w:p w14:paraId="19DE90F7" w14:textId="77777777" w:rsidR="006F46BF" w:rsidRDefault="00000000">
            <w:pPr>
              <w:spacing w:beforeAutospacing="1" w:afterAutospacing="1"/>
            </w:pPr>
            <w:r>
              <w:rPr>
                <w:color w:val="000000"/>
                <w:sz w:val="22"/>
              </w:rPr>
              <w:t>2</w:t>
            </w:r>
          </w:p>
        </w:tc>
        <w:tc>
          <w:tcPr>
            <w:tcW w:w="0" w:type="auto"/>
            <w:vAlign w:val="center"/>
          </w:tcPr>
          <w:p w14:paraId="0A6C0F61" w14:textId="77777777" w:rsidR="006F46BF" w:rsidRDefault="00000000">
            <w:pPr>
              <w:spacing w:beforeAutospacing="1" w:afterAutospacing="1"/>
            </w:pPr>
            <w:r>
              <w:rPr>
                <w:color w:val="000000"/>
                <w:sz w:val="22"/>
              </w:rPr>
              <w:t>0</w:t>
            </w:r>
          </w:p>
        </w:tc>
        <w:tc>
          <w:tcPr>
            <w:tcW w:w="0" w:type="auto"/>
            <w:vAlign w:val="center"/>
          </w:tcPr>
          <w:p w14:paraId="6E969FD4" w14:textId="77777777" w:rsidR="006F46BF" w:rsidRDefault="00000000">
            <w:pPr>
              <w:spacing w:beforeAutospacing="1" w:afterAutospacing="1"/>
            </w:pPr>
            <w:r>
              <w:rPr>
                <w:color w:val="000000"/>
                <w:sz w:val="22"/>
              </w:rPr>
              <w:t xml:space="preserve">         0.00%</w:t>
            </w:r>
          </w:p>
        </w:tc>
        <w:tc>
          <w:tcPr>
            <w:tcW w:w="0" w:type="auto"/>
            <w:vAlign w:val="center"/>
          </w:tcPr>
          <w:p w14:paraId="237E6C92" w14:textId="77777777" w:rsidR="006F46BF" w:rsidRDefault="00000000">
            <w:pPr>
              <w:spacing w:beforeAutospacing="1" w:afterAutospacing="1"/>
            </w:pPr>
            <w:r>
              <w:rPr>
                <w:color w:val="000000"/>
                <w:sz w:val="22"/>
              </w:rPr>
              <w:t>1</w:t>
            </w:r>
          </w:p>
        </w:tc>
        <w:tc>
          <w:tcPr>
            <w:tcW w:w="0" w:type="auto"/>
            <w:vAlign w:val="center"/>
          </w:tcPr>
          <w:p w14:paraId="4417EDE3" w14:textId="77777777" w:rsidR="006F46BF" w:rsidRDefault="00000000">
            <w:pPr>
              <w:spacing w:beforeAutospacing="1" w:afterAutospacing="1"/>
            </w:pPr>
            <w:r>
              <w:rPr>
                <w:color w:val="000000"/>
                <w:sz w:val="22"/>
              </w:rPr>
              <w:t>0</w:t>
            </w:r>
          </w:p>
        </w:tc>
        <w:tc>
          <w:tcPr>
            <w:tcW w:w="0" w:type="auto"/>
            <w:vAlign w:val="center"/>
          </w:tcPr>
          <w:p w14:paraId="650DF6ED" w14:textId="77777777" w:rsidR="006F46BF" w:rsidRDefault="00000000">
            <w:pPr>
              <w:spacing w:beforeAutospacing="1" w:afterAutospacing="1"/>
            </w:pPr>
            <w:r>
              <w:rPr>
                <w:color w:val="000000"/>
                <w:sz w:val="22"/>
              </w:rPr>
              <w:t xml:space="preserve">         0.00%</w:t>
            </w:r>
          </w:p>
        </w:tc>
      </w:tr>
      <w:tr w:rsidR="006F46BF" w14:paraId="607CB868" w14:textId="77777777">
        <w:trPr>
          <w:cantSplit/>
        </w:trPr>
        <w:tc>
          <w:tcPr>
            <w:tcW w:w="0" w:type="auto"/>
            <w:vAlign w:val="center"/>
          </w:tcPr>
          <w:p w14:paraId="5F323DA9" w14:textId="77777777" w:rsidR="006F46BF" w:rsidRDefault="00000000">
            <w:pPr>
              <w:spacing w:beforeAutospacing="1" w:afterAutospacing="1"/>
            </w:pPr>
            <w:r>
              <w:rPr>
                <w:color w:val="000000"/>
                <w:sz w:val="22"/>
              </w:rPr>
              <w:t>Planning &amp; Administration</w:t>
            </w:r>
          </w:p>
        </w:tc>
        <w:tc>
          <w:tcPr>
            <w:tcW w:w="0" w:type="auto"/>
            <w:vAlign w:val="center"/>
          </w:tcPr>
          <w:p w14:paraId="25746F1D" w14:textId="77777777" w:rsidR="006F46BF" w:rsidRDefault="00000000">
            <w:pPr>
              <w:spacing w:beforeAutospacing="1" w:afterAutospacing="1"/>
            </w:pPr>
            <w:r>
              <w:rPr>
                <w:color w:val="000000"/>
                <w:sz w:val="22"/>
              </w:rPr>
              <w:t>All CDBG &amp; HOME Planning &amp; Administration</w:t>
            </w:r>
          </w:p>
        </w:tc>
        <w:tc>
          <w:tcPr>
            <w:tcW w:w="0" w:type="auto"/>
            <w:vAlign w:val="center"/>
          </w:tcPr>
          <w:p w14:paraId="7ED76287" w14:textId="77777777" w:rsidR="006F46BF" w:rsidRDefault="00000000">
            <w:pPr>
              <w:spacing w:beforeAutospacing="1" w:afterAutospacing="1"/>
            </w:pPr>
            <w:r>
              <w:rPr>
                <w:color w:val="000000"/>
                <w:sz w:val="22"/>
              </w:rPr>
              <w:t>CDBG: $ / HOME: $</w:t>
            </w:r>
          </w:p>
        </w:tc>
        <w:tc>
          <w:tcPr>
            <w:tcW w:w="0" w:type="auto"/>
            <w:vAlign w:val="center"/>
          </w:tcPr>
          <w:p w14:paraId="27EBE1AF" w14:textId="77777777" w:rsidR="006F46BF" w:rsidRDefault="00000000">
            <w:pPr>
              <w:spacing w:beforeAutospacing="1" w:afterAutospacing="1"/>
            </w:pPr>
            <w:r>
              <w:rPr>
                <w:color w:val="000000"/>
                <w:sz w:val="22"/>
              </w:rPr>
              <w:t>Other</w:t>
            </w:r>
          </w:p>
        </w:tc>
        <w:tc>
          <w:tcPr>
            <w:tcW w:w="0" w:type="auto"/>
            <w:vAlign w:val="center"/>
          </w:tcPr>
          <w:p w14:paraId="1F3DCE2B" w14:textId="77777777" w:rsidR="006F46BF" w:rsidRDefault="00000000">
            <w:pPr>
              <w:spacing w:beforeAutospacing="1" w:afterAutospacing="1"/>
            </w:pPr>
            <w:r>
              <w:rPr>
                <w:color w:val="000000"/>
                <w:sz w:val="22"/>
              </w:rPr>
              <w:t>Other</w:t>
            </w:r>
          </w:p>
        </w:tc>
        <w:tc>
          <w:tcPr>
            <w:tcW w:w="0" w:type="auto"/>
            <w:vAlign w:val="center"/>
          </w:tcPr>
          <w:p w14:paraId="211B0810" w14:textId="77777777" w:rsidR="006F46BF" w:rsidRDefault="00000000">
            <w:pPr>
              <w:spacing w:beforeAutospacing="1" w:afterAutospacing="1"/>
            </w:pPr>
            <w:r>
              <w:rPr>
                <w:color w:val="000000"/>
                <w:sz w:val="22"/>
              </w:rPr>
              <w:t>10000</w:t>
            </w:r>
          </w:p>
        </w:tc>
        <w:tc>
          <w:tcPr>
            <w:tcW w:w="0" w:type="auto"/>
            <w:vAlign w:val="center"/>
          </w:tcPr>
          <w:p w14:paraId="25110962" w14:textId="77777777" w:rsidR="006F46BF" w:rsidRDefault="00000000">
            <w:pPr>
              <w:spacing w:beforeAutospacing="1" w:afterAutospacing="1"/>
            </w:pPr>
            <w:r>
              <w:rPr>
                <w:color w:val="000000"/>
                <w:sz w:val="22"/>
              </w:rPr>
              <w:t>0</w:t>
            </w:r>
          </w:p>
        </w:tc>
        <w:tc>
          <w:tcPr>
            <w:tcW w:w="0" w:type="auto"/>
            <w:vAlign w:val="center"/>
          </w:tcPr>
          <w:p w14:paraId="19A1B797" w14:textId="77777777" w:rsidR="006F46BF" w:rsidRDefault="00000000">
            <w:pPr>
              <w:spacing w:beforeAutospacing="1" w:afterAutospacing="1"/>
            </w:pPr>
            <w:r>
              <w:rPr>
                <w:color w:val="000000"/>
                <w:sz w:val="22"/>
              </w:rPr>
              <w:t xml:space="preserve">         0.00%</w:t>
            </w:r>
          </w:p>
        </w:tc>
        <w:tc>
          <w:tcPr>
            <w:tcW w:w="0" w:type="auto"/>
            <w:vAlign w:val="center"/>
          </w:tcPr>
          <w:p w14:paraId="6C0CDE2A" w14:textId="77777777" w:rsidR="006F46BF" w:rsidRDefault="00000000">
            <w:pPr>
              <w:spacing w:beforeAutospacing="1" w:afterAutospacing="1"/>
            </w:pPr>
            <w:r>
              <w:rPr>
                <w:color w:val="000000"/>
                <w:sz w:val="22"/>
              </w:rPr>
              <w:t>10000</w:t>
            </w:r>
          </w:p>
        </w:tc>
        <w:tc>
          <w:tcPr>
            <w:tcW w:w="0" w:type="auto"/>
            <w:vAlign w:val="center"/>
          </w:tcPr>
          <w:p w14:paraId="44B3E7F2" w14:textId="77777777" w:rsidR="006F46BF" w:rsidRDefault="00000000">
            <w:pPr>
              <w:spacing w:beforeAutospacing="1" w:afterAutospacing="1"/>
            </w:pPr>
            <w:r>
              <w:rPr>
                <w:color w:val="000000"/>
                <w:sz w:val="22"/>
              </w:rPr>
              <w:t>0</w:t>
            </w:r>
          </w:p>
        </w:tc>
        <w:tc>
          <w:tcPr>
            <w:tcW w:w="0" w:type="auto"/>
            <w:vAlign w:val="center"/>
          </w:tcPr>
          <w:p w14:paraId="44D5FDF7" w14:textId="77777777" w:rsidR="006F46BF" w:rsidRDefault="00000000">
            <w:pPr>
              <w:spacing w:beforeAutospacing="1" w:afterAutospacing="1"/>
            </w:pPr>
            <w:r>
              <w:rPr>
                <w:color w:val="000000"/>
                <w:sz w:val="22"/>
              </w:rPr>
              <w:t xml:space="preserve">         0.00%</w:t>
            </w:r>
          </w:p>
        </w:tc>
      </w:tr>
      <w:tr w:rsidR="006F46BF" w14:paraId="5195DB42" w14:textId="77777777">
        <w:trPr>
          <w:cantSplit/>
        </w:trPr>
        <w:tc>
          <w:tcPr>
            <w:tcW w:w="0" w:type="auto"/>
            <w:vAlign w:val="center"/>
          </w:tcPr>
          <w:p w14:paraId="2BBB5928" w14:textId="77777777" w:rsidR="006F46BF" w:rsidRDefault="00000000">
            <w:pPr>
              <w:spacing w:beforeAutospacing="1" w:afterAutospacing="1"/>
            </w:pPr>
            <w:r>
              <w:rPr>
                <w:color w:val="000000"/>
                <w:sz w:val="22"/>
              </w:rPr>
              <w:t>Public Facilities Improvements</w:t>
            </w:r>
          </w:p>
        </w:tc>
        <w:tc>
          <w:tcPr>
            <w:tcW w:w="0" w:type="auto"/>
            <w:vAlign w:val="center"/>
          </w:tcPr>
          <w:p w14:paraId="4D58122C" w14:textId="77777777" w:rsidR="006F46BF" w:rsidRDefault="00000000">
            <w:pPr>
              <w:spacing w:beforeAutospacing="1" w:afterAutospacing="1"/>
            </w:pPr>
            <w:r>
              <w:rPr>
                <w:color w:val="000000"/>
                <w:sz w:val="22"/>
              </w:rPr>
              <w:t>Non-Housing Community Development</w:t>
            </w:r>
          </w:p>
        </w:tc>
        <w:tc>
          <w:tcPr>
            <w:tcW w:w="0" w:type="auto"/>
            <w:vAlign w:val="center"/>
          </w:tcPr>
          <w:p w14:paraId="46BDF621" w14:textId="77777777" w:rsidR="006F46BF" w:rsidRDefault="00000000">
            <w:pPr>
              <w:spacing w:beforeAutospacing="1" w:afterAutospacing="1"/>
            </w:pPr>
            <w:r>
              <w:rPr>
                <w:color w:val="000000"/>
                <w:sz w:val="22"/>
              </w:rPr>
              <w:t>CDBG: $</w:t>
            </w:r>
          </w:p>
        </w:tc>
        <w:tc>
          <w:tcPr>
            <w:tcW w:w="0" w:type="auto"/>
            <w:vAlign w:val="center"/>
          </w:tcPr>
          <w:p w14:paraId="00982928" w14:textId="77777777" w:rsidR="006F46BF" w:rsidRDefault="00000000">
            <w:pPr>
              <w:spacing w:beforeAutospacing="1" w:afterAutospacing="1"/>
            </w:pPr>
            <w:r>
              <w:rPr>
                <w:color w:val="000000"/>
                <w:sz w:val="22"/>
              </w:rPr>
              <w:t>Public Facility or Infrastructure Activities other than Low/Moderate Income Housing Benefit</w:t>
            </w:r>
          </w:p>
        </w:tc>
        <w:tc>
          <w:tcPr>
            <w:tcW w:w="0" w:type="auto"/>
            <w:vAlign w:val="center"/>
          </w:tcPr>
          <w:p w14:paraId="686F9CD9" w14:textId="77777777" w:rsidR="006F46BF" w:rsidRDefault="00000000">
            <w:pPr>
              <w:spacing w:beforeAutospacing="1" w:afterAutospacing="1"/>
            </w:pPr>
            <w:r>
              <w:rPr>
                <w:color w:val="000000"/>
                <w:sz w:val="22"/>
              </w:rPr>
              <w:t>Persons Assisted</w:t>
            </w:r>
          </w:p>
        </w:tc>
        <w:tc>
          <w:tcPr>
            <w:tcW w:w="0" w:type="auto"/>
            <w:vAlign w:val="center"/>
          </w:tcPr>
          <w:p w14:paraId="1CE12F51" w14:textId="77777777" w:rsidR="006F46BF" w:rsidRDefault="00000000">
            <w:pPr>
              <w:spacing w:beforeAutospacing="1" w:afterAutospacing="1"/>
            </w:pPr>
            <w:r>
              <w:rPr>
                <w:color w:val="000000"/>
                <w:sz w:val="22"/>
              </w:rPr>
              <w:t>31000</w:t>
            </w:r>
          </w:p>
        </w:tc>
        <w:tc>
          <w:tcPr>
            <w:tcW w:w="0" w:type="auto"/>
            <w:vAlign w:val="center"/>
          </w:tcPr>
          <w:p w14:paraId="05E0E662" w14:textId="77777777" w:rsidR="006F46BF" w:rsidRDefault="00000000">
            <w:pPr>
              <w:spacing w:beforeAutospacing="1" w:afterAutospacing="1"/>
            </w:pPr>
            <w:r>
              <w:rPr>
                <w:color w:val="000000"/>
                <w:sz w:val="22"/>
              </w:rPr>
              <w:t>60000</w:t>
            </w:r>
          </w:p>
        </w:tc>
        <w:tc>
          <w:tcPr>
            <w:tcW w:w="0" w:type="auto"/>
            <w:vAlign w:val="center"/>
          </w:tcPr>
          <w:p w14:paraId="1FF2FAAC" w14:textId="77777777" w:rsidR="006F46BF" w:rsidRDefault="00000000">
            <w:pPr>
              <w:spacing w:beforeAutospacing="1" w:afterAutospacing="1"/>
            </w:pPr>
            <w:r>
              <w:rPr>
                <w:color w:val="000000"/>
                <w:sz w:val="22"/>
              </w:rPr>
              <w:t xml:space="preserve">       193.55%</w:t>
            </w:r>
          </w:p>
        </w:tc>
        <w:tc>
          <w:tcPr>
            <w:tcW w:w="0" w:type="auto"/>
            <w:vAlign w:val="center"/>
          </w:tcPr>
          <w:p w14:paraId="47874D62" w14:textId="77777777" w:rsidR="006F46BF" w:rsidRDefault="00000000">
            <w:pPr>
              <w:spacing w:beforeAutospacing="1" w:afterAutospacing="1"/>
            </w:pPr>
            <w:r>
              <w:rPr>
                <w:color w:val="000000"/>
                <w:sz w:val="22"/>
              </w:rPr>
              <w:t>31000</w:t>
            </w:r>
          </w:p>
        </w:tc>
        <w:tc>
          <w:tcPr>
            <w:tcW w:w="0" w:type="auto"/>
            <w:vAlign w:val="center"/>
          </w:tcPr>
          <w:p w14:paraId="2CB08B95" w14:textId="77777777" w:rsidR="006F46BF" w:rsidRDefault="00000000">
            <w:pPr>
              <w:spacing w:beforeAutospacing="1" w:afterAutospacing="1"/>
            </w:pPr>
            <w:r>
              <w:rPr>
                <w:color w:val="000000"/>
                <w:sz w:val="22"/>
              </w:rPr>
              <w:t>60000</w:t>
            </w:r>
          </w:p>
        </w:tc>
        <w:tc>
          <w:tcPr>
            <w:tcW w:w="0" w:type="auto"/>
            <w:vAlign w:val="center"/>
          </w:tcPr>
          <w:p w14:paraId="0BE7AAF3" w14:textId="77777777" w:rsidR="006F46BF" w:rsidRDefault="00000000">
            <w:pPr>
              <w:spacing w:beforeAutospacing="1" w:afterAutospacing="1"/>
            </w:pPr>
            <w:r>
              <w:rPr>
                <w:color w:val="000000"/>
                <w:sz w:val="22"/>
              </w:rPr>
              <w:t xml:space="preserve">       193.55%</w:t>
            </w:r>
          </w:p>
        </w:tc>
      </w:tr>
      <w:tr w:rsidR="006F46BF" w14:paraId="4188EF63" w14:textId="77777777">
        <w:trPr>
          <w:cantSplit/>
        </w:trPr>
        <w:tc>
          <w:tcPr>
            <w:tcW w:w="0" w:type="auto"/>
            <w:vAlign w:val="center"/>
          </w:tcPr>
          <w:p w14:paraId="7D09488B" w14:textId="77777777" w:rsidR="006F46BF" w:rsidRDefault="00000000">
            <w:pPr>
              <w:spacing w:beforeAutospacing="1" w:afterAutospacing="1"/>
            </w:pPr>
            <w:r>
              <w:rPr>
                <w:color w:val="000000"/>
                <w:sz w:val="22"/>
              </w:rPr>
              <w:lastRenderedPageBreak/>
              <w:t>Public Services</w:t>
            </w:r>
          </w:p>
        </w:tc>
        <w:tc>
          <w:tcPr>
            <w:tcW w:w="0" w:type="auto"/>
            <w:vAlign w:val="center"/>
          </w:tcPr>
          <w:p w14:paraId="6830E6F8" w14:textId="77777777" w:rsidR="006F46BF" w:rsidRDefault="00000000">
            <w:pPr>
              <w:spacing w:beforeAutospacing="1" w:afterAutospacing="1"/>
            </w:pPr>
            <w:r>
              <w:rPr>
                <w:color w:val="000000"/>
                <w:sz w:val="22"/>
              </w:rPr>
              <w:t>Non-Housing Community Development</w:t>
            </w:r>
          </w:p>
        </w:tc>
        <w:tc>
          <w:tcPr>
            <w:tcW w:w="0" w:type="auto"/>
            <w:vAlign w:val="center"/>
          </w:tcPr>
          <w:p w14:paraId="37199648" w14:textId="77777777" w:rsidR="006F46BF" w:rsidRDefault="00000000">
            <w:pPr>
              <w:spacing w:beforeAutospacing="1" w:afterAutospacing="1"/>
            </w:pPr>
            <w:r>
              <w:rPr>
                <w:color w:val="000000"/>
                <w:sz w:val="22"/>
              </w:rPr>
              <w:t>CDBG: $</w:t>
            </w:r>
          </w:p>
        </w:tc>
        <w:tc>
          <w:tcPr>
            <w:tcW w:w="0" w:type="auto"/>
            <w:vAlign w:val="center"/>
          </w:tcPr>
          <w:p w14:paraId="6BA707FE" w14:textId="77777777" w:rsidR="006F46BF" w:rsidRDefault="00000000">
            <w:pPr>
              <w:spacing w:beforeAutospacing="1" w:afterAutospacing="1"/>
            </w:pPr>
            <w:r>
              <w:rPr>
                <w:color w:val="000000"/>
                <w:sz w:val="22"/>
              </w:rPr>
              <w:t>Public service activities other than Low/Moderate Income Housing Benefit</w:t>
            </w:r>
          </w:p>
        </w:tc>
        <w:tc>
          <w:tcPr>
            <w:tcW w:w="0" w:type="auto"/>
            <w:vAlign w:val="center"/>
          </w:tcPr>
          <w:p w14:paraId="01EA9230" w14:textId="77777777" w:rsidR="006F46BF" w:rsidRDefault="00000000">
            <w:pPr>
              <w:spacing w:beforeAutospacing="1" w:afterAutospacing="1"/>
            </w:pPr>
            <w:r>
              <w:rPr>
                <w:color w:val="000000"/>
                <w:sz w:val="22"/>
              </w:rPr>
              <w:t>Persons Assisted</w:t>
            </w:r>
          </w:p>
        </w:tc>
        <w:tc>
          <w:tcPr>
            <w:tcW w:w="0" w:type="auto"/>
            <w:vAlign w:val="center"/>
          </w:tcPr>
          <w:p w14:paraId="1EF6F91B" w14:textId="77777777" w:rsidR="006F46BF" w:rsidRDefault="00000000">
            <w:pPr>
              <w:spacing w:beforeAutospacing="1" w:afterAutospacing="1"/>
            </w:pPr>
            <w:r>
              <w:rPr>
                <w:color w:val="000000"/>
                <w:sz w:val="22"/>
              </w:rPr>
              <w:t>10000</w:t>
            </w:r>
          </w:p>
        </w:tc>
        <w:tc>
          <w:tcPr>
            <w:tcW w:w="0" w:type="auto"/>
            <w:vAlign w:val="center"/>
          </w:tcPr>
          <w:p w14:paraId="03BF4719" w14:textId="77777777" w:rsidR="006F46BF" w:rsidRDefault="00000000">
            <w:pPr>
              <w:spacing w:beforeAutospacing="1" w:afterAutospacing="1"/>
            </w:pPr>
            <w:r>
              <w:rPr>
                <w:color w:val="000000"/>
                <w:sz w:val="22"/>
              </w:rPr>
              <w:t>10256</w:t>
            </w:r>
          </w:p>
        </w:tc>
        <w:tc>
          <w:tcPr>
            <w:tcW w:w="0" w:type="auto"/>
            <w:vAlign w:val="center"/>
          </w:tcPr>
          <w:p w14:paraId="5C173CBB" w14:textId="77777777" w:rsidR="006F46BF" w:rsidRDefault="00000000">
            <w:pPr>
              <w:spacing w:beforeAutospacing="1" w:afterAutospacing="1"/>
            </w:pPr>
            <w:r>
              <w:rPr>
                <w:color w:val="000000"/>
                <w:sz w:val="22"/>
              </w:rPr>
              <w:t xml:space="preserve">       102.56%</w:t>
            </w:r>
          </w:p>
        </w:tc>
        <w:tc>
          <w:tcPr>
            <w:tcW w:w="0" w:type="auto"/>
            <w:vAlign w:val="center"/>
          </w:tcPr>
          <w:p w14:paraId="0281CA0C" w14:textId="77777777" w:rsidR="006F46BF" w:rsidRDefault="00000000">
            <w:pPr>
              <w:spacing w:beforeAutospacing="1" w:afterAutospacing="1"/>
            </w:pPr>
            <w:r>
              <w:rPr>
                <w:color w:val="000000"/>
                <w:sz w:val="22"/>
              </w:rPr>
              <w:t>4095</w:t>
            </w:r>
          </w:p>
        </w:tc>
        <w:tc>
          <w:tcPr>
            <w:tcW w:w="0" w:type="auto"/>
            <w:vAlign w:val="center"/>
          </w:tcPr>
          <w:p w14:paraId="4830E85B" w14:textId="77777777" w:rsidR="006F46BF" w:rsidRDefault="00000000">
            <w:pPr>
              <w:spacing w:beforeAutospacing="1" w:afterAutospacing="1"/>
            </w:pPr>
            <w:r>
              <w:rPr>
                <w:color w:val="000000"/>
                <w:sz w:val="22"/>
              </w:rPr>
              <w:t>10256</w:t>
            </w:r>
          </w:p>
        </w:tc>
        <w:tc>
          <w:tcPr>
            <w:tcW w:w="0" w:type="auto"/>
            <w:vAlign w:val="center"/>
          </w:tcPr>
          <w:p w14:paraId="174EB52B" w14:textId="77777777" w:rsidR="006F46BF" w:rsidRDefault="00000000">
            <w:pPr>
              <w:spacing w:beforeAutospacing="1" w:afterAutospacing="1"/>
            </w:pPr>
            <w:r>
              <w:rPr>
                <w:color w:val="000000"/>
                <w:sz w:val="22"/>
              </w:rPr>
              <w:t xml:space="preserve">       250.45%</w:t>
            </w:r>
          </w:p>
        </w:tc>
      </w:tr>
      <w:tr w:rsidR="006F46BF" w14:paraId="48697D89" w14:textId="77777777">
        <w:trPr>
          <w:cantSplit/>
        </w:trPr>
        <w:tc>
          <w:tcPr>
            <w:tcW w:w="0" w:type="auto"/>
            <w:vAlign w:val="center"/>
          </w:tcPr>
          <w:p w14:paraId="3D548EB8" w14:textId="77777777" w:rsidR="006F46BF" w:rsidRDefault="00000000">
            <w:pPr>
              <w:spacing w:beforeAutospacing="1" w:afterAutospacing="1"/>
            </w:pPr>
            <w:r>
              <w:rPr>
                <w:color w:val="000000"/>
                <w:sz w:val="22"/>
              </w:rPr>
              <w:t>Transportation</w:t>
            </w:r>
          </w:p>
        </w:tc>
        <w:tc>
          <w:tcPr>
            <w:tcW w:w="0" w:type="auto"/>
            <w:vAlign w:val="center"/>
          </w:tcPr>
          <w:p w14:paraId="6FF3F5F1" w14:textId="77777777" w:rsidR="006F46BF" w:rsidRDefault="00000000">
            <w:pPr>
              <w:spacing w:beforeAutospacing="1" w:afterAutospacing="1"/>
            </w:pPr>
            <w:r>
              <w:rPr>
                <w:color w:val="000000"/>
                <w:sz w:val="22"/>
              </w:rPr>
              <w:t>Non-Housing Community Development</w:t>
            </w:r>
          </w:p>
        </w:tc>
        <w:tc>
          <w:tcPr>
            <w:tcW w:w="0" w:type="auto"/>
            <w:vAlign w:val="center"/>
          </w:tcPr>
          <w:p w14:paraId="7D2F1B3A" w14:textId="77777777" w:rsidR="006F46BF" w:rsidRDefault="00000000">
            <w:pPr>
              <w:spacing w:beforeAutospacing="1" w:afterAutospacing="1"/>
            </w:pPr>
            <w:r>
              <w:rPr>
                <w:color w:val="000000"/>
                <w:sz w:val="22"/>
              </w:rPr>
              <w:t>CDBG: $</w:t>
            </w:r>
          </w:p>
        </w:tc>
        <w:tc>
          <w:tcPr>
            <w:tcW w:w="0" w:type="auto"/>
            <w:vAlign w:val="center"/>
          </w:tcPr>
          <w:p w14:paraId="133489DE" w14:textId="77777777" w:rsidR="006F46BF" w:rsidRDefault="00000000">
            <w:pPr>
              <w:spacing w:beforeAutospacing="1" w:afterAutospacing="1"/>
            </w:pPr>
            <w:r>
              <w:rPr>
                <w:color w:val="000000"/>
                <w:sz w:val="22"/>
              </w:rPr>
              <w:t>Other</w:t>
            </w:r>
          </w:p>
        </w:tc>
        <w:tc>
          <w:tcPr>
            <w:tcW w:w="0" w:type="auto"/>
            <w:vAlign w:val="center"/>
          </w:tcPr>
          <w:p w14:paraId="6199BE9F" w14:textId="77777777" w:rsidR="006F46BF" w:rsidRDefault="00000000">
            <w:pPr>
              <w:spacing w:beforeAutospacing="1" w:afterAutospacing="1"/>
            </w:pPr>
            <w:r>
              <w:rPr>
                <w:color w:val="000000"/>
                <w:sz w:val="22"/>
              </w:rPr>
              <w:t>Other</w:t>
            </w:r>
          </w:p>
        </w:tc>
        <w:tc>
          <w:tcPr>
            <w:tcW w:w="0" w:type="auto"/>
            <w:vAlign w:val="center"/>
          </w:tcPr>
          <w:p w14:paraId="6232C3B5" w14:textId="77777777" w:rsidR="006F46BF" w:rsidRDefault="00000000">
            <w:pPr>
              <w:spacing w:beforeAutospacing="1" w:afterAutospacing="1"/>
            </w:pPr>
            <w:r>
              <w:rPr>
                <w:color w:val="000000"/>
                <w:sz w:val="22"/>
              </w:rPr>
              <w:t>900</w:t>
            </w:r>
          </w:p>
        </w:tc>
        <w:tc>
          <w:tcPr>
            <w:tcW w:w="0" w:type="auto"/>
            <w:vAlign w:val="center"/>
          </w:tcPr>
          <w:p w14:paraId="508AF0D0" w14:textId="77777777" w:rsidR="006F46BF" w:rsidRDefault="00000000">
            <w:pPr>
              <w:spacing w:beforeAutospacing="1" w:afterAutospacing="1"/>
            </w:pPr>
            <w:r>
              <w:rPr>
                <w:color w:val="000000"/>
                <w:sz w:val="22"/>
              </w:rPr>
              <w:t>1632</w:t>
            </w:r>
          </w:p>
        </w:tc>
        <w:tc>
          <w:tcPr>
            <w:tcW w:w="0" w:type="auto"/>
            <w:vAlign w:val="center"/>
          </w:tcPr>
          <w:p w14:paraId="7D453147" w14:textId="77777777" w:rsidR="006F46BF" w:rsidRDefault="00000000">
            <w:pPr>
              <w:spacing w:beforeAutospacing="1" w:afterAutospacing="1"/>
            </w:pPr>
            <w:r>
              <w:rPr>
                <w:color w:val="000000"/>
                <w:sz w:val="22"/>
              </w:rPr>
              <w:t xml:space="preserve">       181.33%</w:t>
            </w:r>
          </w:p>
        </w:tc>
        <w:tc>
          <w:tcPr>
            <w:tcW w:w="0" w:type="auto"/>
            <w:vAlign w:val="center"/>
          </w:tcPr>
          <w:p w14:paraId="62806933" w14:textId="77777777" w:rsidR="006F46BF" w:rsidRDefault="00000000">
            <w:pPr>
              <w:spacing w:beforeAutospacing="1" w:afterAutospacing="1"/>
            </w:pPr>
            <w:r>
              <w:rPr>
                <w:color w:val="000000"/>
                <w:sz w:val="22"/>
              </w:rPr>
              <w:t>900</w:t>
            </w:r>
          </w:p>
        </w:tc>
        <w:tc>
          <w:tcPr>
            <w:tcW w:w="0" w:type="auto"/>
            <w:vAlign w:val="center"/>
          </w:tcPr>
          <w:p w14:paraId="7350C5D5" w14:textId="77777777" w:rsidR="006F46BF" w:rsidRDefault="00000000">
            <w:pPr>
              <w:spacing w:beforeAutospacing="1" w:afterAutospacing="1"/>
            </w:pPr>
            <w:r>
              <w:rPr>
                <w:color w:val="000000"/>
                <w:sz w:val="22"/>
              </w:rPr>
              <w:t>1632</w:t>
            </w:r>
          </w:p>
        </w:tc>
        <w:tc>
          <w:tcPr>
            <w:tcW w:w="0" w:type="auto"/>
            <w:vAlign w:val="center"/>
          </w:tcPr>
          <w:p w14:paraId="7CC26354" w14:textId="77777777" w:rsidR="006F46BF" w:rsidRDefault="00000000">
            <w:pPr>
              <w:spacing w:beforeAutospacing="1" w:afterAutospacing="1"/>
            </w:pPr>
            <w:r>
              <w:rPr>
                <w:color w:val="000000"/>
                <w:sz w:val="22"/>
              </w:rPr>
              <w:t xml:space="preserve">       181.33%</w:t>
            </w:r>
          </w:p>
        </w:tc>
      </w:tr>
    </w:tbl>
    <w:p w14:paraId="1201B987" w14:textId="77777777" w:rsidR="006F46BF" w:rsidRDefault="00000000">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1</w:t>
      </w:r>
      <w:r>
        <w:rPr>
          <w:rFonts w:asciiTheme="minorHAnsi" w:hAnsiTheme="minorHAnsi"/>
        </w:rPr>
        <w:fldChar w:fldCharType="end"/>
      </w:r>
      <w:r>
        <w:rPr>
          <w:rFonts w:asciiTheme="minorHAnsi" w:hAnsiTheme="minorHAnsi"/>
        </w:rPr>
        <w:t xml:space="preserve"> - Accomplishments – Program Year &amp; Strategic Plan to Date</w:t>
      </w:r>
    </w:p>
    <w:p w14:paraId="673731D4" w14:textId="77777777" w:rsidR="006F46BF" w:rsidRDefault="006F46BF"/>
    <w:p w14:paraId="4B7F7E49" w14:textId="77777777" w:rsidR="006F46BF" w:rsidRDefault="006F46BF">
      <w:pPr>
        <w:spacing w:after="0" w:line="240" w:lineRule="auto"/>
      </w:pPr>
    </w:p>
    <w:p w14:paraId="751CA26A" w14:textId="77777777" w:rsidR="006F46BF" w:rsidRDefault="00000000">
      <w:pPr>
        <w:keepNext/>
        <w:widowControl w:val="0"/>
        <w:rPr>
          <w:b/>
          <w:sz w:val="24"/>
          <w:szCs w:val="24"/>
        </w:rPr>
      </w:pPr>
      <w:r>
        <w:rPr>
          <w:b/>
          <w:sz w:val="24"/>
          <w:szCs w:val="24"/>
        </w:rPr>
        <w:lastRenderedPageBreak/>
        <w:t>Assess how the jurisdiction’s use of funds, particularly CDBG, addresses the priorities and specific objectives identified in the plan, giving special attention to the highest priority activities identified.</w:t>
      </w:r>
    </w:p>
    <w:p w14:paraId="668FABED" w14:textId="77777777" w:rsidR="006F46BF" w:rsidRDefault="00000000">
      <w:pPr>
        <w:keepNext/>
        <w:widowControl w:val="0"/>
        <w:spacing w:beforeAutospacing="1" w:afterAutospacing="1"/>
      </w:pPr>
      <w:r>
        <w:t xml:space="preserve">Neighborhood Development Division (NDD) of the City of Hamilton is responsible for administering the CDBG and HOME programs and will strive in </w:t>
      </w:r>
      <w:proofErr w:type="spellStart"/>
      <w:r>
        <w:t>thefinal</w:t>
      </w:r>
      <w:proofErr w:type="spellEnd"/>
      <w:r>
        <w:t xml:space="preserve"> program year of the current Consolidated plan to meet the community's needs as well as continue to expend funds in a timely manner. </w:t>
      </w:r>
    </w:p>
    <w:p w14:paraId="30C380D6" w14:textId="77777777" w:rsidR="006F46BF" w:rsidRDefault="00000000">
      <w:pPr>
        <w:keepNext/>
        <w:widowControl w:val="0"/>
        <w:spacing w:beforeAutospacing="1" w:afterAutospacing="1"/>
      </w:pPr>
      <w:r>
        <w:t>·       The City has been extremely proactive in improving the quality of life of its residents by addressing issues such as Affordable/Public Housing, Community Development, and Homeless services. </w:t>
      </w:r>
    </w:p>
    <w:p w14:paraId="57324E22" w14:textId="77777777" w:rsidR="006F46BF" w:rsidRDefault="00000000">
      <w:pPr>
        <w:keepNext/>
        <w:widowControl w:val="0"/>
        <w:spacing w:beforeAutospacing="1" w:afterAutospacing="1"/>
      </w:pPr>
      <w:r>
        <w:t xml:space="preserve">·       Economically challenged census tract and block group eligible neighborhoods remain a focus of the City's redevelopment plan under the CDBG and HOME program. The </w:t>
      </w:r>
      <w:proofErr w:type="gramStart"/>
      <w:r>
        <w:t>City</w:t>
      </w:r>
      <w:proofErr w:type="gramEnd"/>
      <w:r>
        <w:t xml:space="preserve"> in collaboration with Neighborhood Housing Services of Hamilton (NHSH) continue to work to create affordable housing in the area in order to create a more economically stable, sustainable community and mixed income neighborhood. </w:t>
      </w:r>
    </w:p>
    <w:p w14:paraId="3FEC57A0" w14:textId="77777777" w:rsidR="006F46BF" w:rsidRDefault="00000000">
      <w:pPr>
        <w:keepNext/>
        <w:widowControl w:val="0"/>
        <w:spacing w:beforeAutospacing="1" w:afterAutospacing="1"/>
      </w:pPr>
      <w:r>
        <w:t>·       There were nine </w:t>
      </w:r>
      <w:r>
        <w:rPr>
          <w:b/>
          <w:i/>
        </w:rPr>
        <w:t>(9)</w:t>
      </w:r>
      <w:r>
        <w:t> non-profit agencies and three</w:t>
      </w:r>
      <w:r>
        <w:rPr>
          <w:b/>
          <w:i/>
        </w:rPr>
        <w:t> (3)</w:t>
      </w:r>
      <w:r>
        <w:t> city departments that received CDBG funding this fiscal year for services including, but not limited to, increasing &amp; sustaining affordable/public housing, transportation, economic development, fair housing, tenant-landlord services, homeless services, youth services, victims of violence, public facilities/improvements.</w:t>
      </w:r>
    </w:p>
    <w:p w14:paraId="68EA76D4" w14:textId="77777777" w:rsidR="006F46BF" w:rsidRDefault="00000000">
      <w:pPr>
        <w:keepNext/>
        <w:widowControl w:val="0"/>
        <w:spacing w:beforeAutospacing="1" w:afterAutospacing="1"/>
      </w:pPr>
      <w:r>
        <w:rPr>
          <w:b/>
        </w:rPr>
        <w:t>CDBG-CV</w:t>
      </w:r>
    </w:p>
    <w:p w14:paraId="05DD9DD4" w14:textId="77777777" w:rsidR="006F46BF" w:rsidRDefault="00000000">
      <w:pPr>
        <w:keepNext/>
        <w:widowControl w:val="0"/>
        <w:spacing w:beforeAutospacing="1" w:afterAutospacing="1"/>
      </w:pPr>
      <w:r>
        <w:t xml:space="preserve">In addition to general </w:t>
      </w:r>
      <w:proofErr w:type="spellStart"/>
      <w:r>
        <w:t>entitilement</w:t>
      </w:r>
      <w:proofErr w:type="spellEnd"/>
      <w:r>
        <w:t xml:space="preserve"> CDBG and HOME funds for FY 2021-2022 the city utilized CDBG-CV funds for the following projects in FY 22-23: Great Miami Valley Gas Line Improvement, CHIPs, Career Re-Invention, Station 25 Modernization &amp; Rehabilitation, NHSH-Technology Support for Rental/Utility/Mortgage Assistance, and Parachute - Volunteer Recruitment Campaign.</w:t>
      </w:r>
    </w:p>
    <w:p w14:paraId="21FC7654" w14:textId="77777777" w:rsidR="006F46BF" w:rsidRDefault="006F46BF">
      <w:pPr>
        <w:keepNext/>
        <w:widowControl w:val="0"/>
        <w:spacing w:line="204" w:lineRule="auto"/>
        <w:rPr>
          <w:b/>
          <w:sz w:val="24"/>
          <w:szCs w:val="24"/>
        </w:rPr>
      </w:pPr>
    </w:p>
    <w:p w14:paraId="6D5443B6" w14:textId="77777777" w:rsidR="006F46BF" w:rsidRDefault="006F46BF">
      <w:pPr>
        <w:rPr>
          <w:b/>
          <w:i/>
          <w:sz w:val="26"/>
          <w:szCs w:val="26"/>
        </w:rPr>
        <w:sectPr w:rsidR="006F46BF">
          <w:footerReference w:type="default" r:id="rId8"/>
          <w:pgSz w:w="15840" w:h="12240" w:orient="landscape"/>
          <w:pgMar w:top="1440" w:right="1440" w:bottom="1440" w:left="1440" w:header="720" w:footer="720" w:gutter="0"/>
          <w:cols w:space="720"/>
          <w:docGrid w:linePitch="360"/>
        </w:sectPr>
      </w:pPr>
    </w:p>
    <w:p w14:paraId="54B69D18" w14:textId="77777777" w:rsidR="006F46BF" w:rsidRDefault="00000000">
      <w:pPr>
        <w:pStyle w:val="Heading2"/>
        <w:rPr>
          <w:rFonts w:asciiTheme="minorHAnsi" w:hAnsiTheme="minorHAnsi"/>
          <w:i w:val="0"/>
        </w:rPr>
      </w:pPr>
      <w:bookmarkStart w:id="0" w:name="_Toc309810474"/>
      <w:r>
        <w:rPr>
          <w:rFonts w:asciiTheme="minorHAnsi" w:hAnsiTheme="minorHAnsi"/>
          <w:i w:val="0"/>
        </w:rPr>
        <w:lastRenderedPageBreak/>
        <w:t xml:space="preserve">CR-10 - Racial and Ethnic composition of families </w:t>
      </w:r>
      <w:proofErr w:type="gramStart"/>
      <w:r>
        <w:rPr>
          <w:rFonts w:asciiTheme="minorHAnsi" w:hAnsiTheme="minorHAnsi"/>
          <w:i w:val="0"/>
        </w:rPr>
        <w:t>assisted</w:t>
      </w:r>
      <w:proofErr w:type="gramEnd"/>
    </w:p>
    <w:p w14:paraId="7CB584D8" w14:textId="77777777" w:rsidR="006F46BF" w:rsidRDefault="00000000">
      <w:pPr>
        <w:keepNext/>
        <w:widowControl w:val="0"/>
        <w:rPr>
          <w:b/>
          <w:sz w:val="24"/>
          <w:szCs w:val="24"/>
        </w:rPr>
      </w:pPr>
      <w:r>
        <w:rPr>
          <w:b/>
          <w:sz w:val="24"/>
          <w:szCs w:val="24"/>
        </w:rPr>
        <w:t xml:space="preserve">Describe the families assisted (including the racial and ethnic status of families assisted). 91.520(a) </w:t>
      </w:r>
    </w:p>
    <w:p w14:paraId="5AB65E95" w14:textId="77777777" w:rsidR="006F46BF" w:rsidRDefault="006F46BF">
      <w:pPr>
        <w:widowControl w:val="0"/>
        <w:spacing w:after="0" w:line="240" w:lineRule="auto"/>
        <w:rPr>
          <w:b/>
          <w:vanish/>
          <w:sz w:val="24"/>
          <w:szCs w:val="24"/>
        </w:rPr>
      </w:pPr>
    </w:p>
    <w:p w14:paraId="21576DBF" w14:textId="77777777" w:rsidR="006F46BF" w:rsidRDefault="006F46BF">
      <w:pPr>
        <w:pStyle w:val="NoSpacing"/>
        <w:rPr>
          <w:vanish/>
        </w:rPr>
      </w:pPr>
    </w:p>
    <w:p w14:paraId="3219F647" w14:textId="77777777" w:rsidR="006F46BF" w:rsidRDefault="006F46BF">
      <w:pPr>
        <w:pStyle w:val="NoSpacing"/>
        <w:rPr>
          <w:vanish/>
        </w:rPr>
      </w:pPr>
    </w:p>
    <w:p w14:paraId="2909DCFC" w14:textId="77777777" w:rsidR="006F46BF" w:rsidRDefault="006F46BF">
      <w:pPr>
        <w:pStyle w:val="NoSpacing"/>
        <w:rPr>
          <w:vanish/>
        </w:rPr>
      </w:pPr>
    </w:p>
    <w:p w14:paraId="7A6F6531" w14:textId="77777777" w:rsidR="006F46BF" w:rsidRDefault="006F46BF">
      <w:pPr>
        <w:pStyle w:val="NoSpacing"/>
        <w:rPr>
          <w:vanish/>
        </w:rPr>
      </w:pPr>
    </w:p>
    <w:p w14:paraId="1E8A0B1A" w14:textId="77777777" w:rsidR="006F46BF" w:rsidRDefault="006F46BF">
      <w:pPr>
        <w:pStyle w:val="NoSpacing"/>
        <w:rPr>
          <w:vanish/>
        </w:rPr>
      </w:pPr>
    </w:p>
    <w:p w14:paraId="30D8B97D" w14:textId="77777777" w:rsidR="006F46BF" w:rsidRDefault="006F46BF">
      <w:pPr>
        <w:pStyle w:val="NoSpacing"/>
        <w:rPr>
          <w:vanish/>
        </w:rPr>
      </w:pPr>
    </w:p>
    <w:p w14:paraId="0550D079" w14:textId="77777777" w:rsidR="006F46BF" w:rsidRDefault="006F46BF">
      <w:pPr>
        <w:pStyle w:val="NoSpacing"/>
        <w:rPr>
          <w:vanish/>
        </w:rPr>
      </w:pPr>
    </w:p>
    <w:p w14:paraId="085A6031" w14:textId="77777777" w:rsidR="006F46BF" w:rsidRDefault="006F46BF">
      <w:pPr>
        <w:pStyle w:val="NoSpacing"/>
        <w:rPr>
          <w:vanish/>
        </w:rPr>
      </w:pPr>
    </w:p>
    <w:p w14:paraId="0E28EE0D" w14:textId="77777777" w:rsidR="006F46BF" w:rsidRDefault="006F46BF">
      <w:pPr>
        <w:pStyle w:val="NoSpacing"/>
        <w:rPr>
          <w:vanish/>
        </w:rPr>
      </w:pPr>
    </w:p>
    <w:tbl>
      <w:tblPr>
        <w:tblW w:w="4176"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707"/>
        <w:gridCol w:w="1551"/>
        <w:gridCol w:w="1551"/>
      </w:tblGrid>
      <w:tr w:rsidR="006F46BF" w14:paraId="50051551" w14:textId="77777777">
        <w:trPr>
          <w:cantSplit/>
        </w:trPr>
        <w:tc>
          <w:tcPr>
            <w:tcW w:w="3009" w:type="pct"/>
          </w:tcPr>
          <w:p w14:paraId="53412FAE" w14:textId="77777777" w:rsidR="006F46BF" w:rsidRDefault="006F46BF">
            <w:pPr>
              <w:spacing w:after="0"/>
              <w:rPr>
                <w:b/>
              </w:rPr>
            </w:pPr>
          </w:p>
        </w:tc>
        <w:tc>
          <w:tcPr>
            <w:tcW w:w="992" w:type="pct"/>
          </w:tcPr>
          <w:p w14:paraId="06CF0094" w14:textId="77777777" w:rsidR="006F46BF" w:rsidRDefault="00000000">
            <w:pPr>
              <w:spacing w:after="0"/>
              <w:jc w:val="center"/>
              <w:rPr>
                <w:b/>
              </w:rPr>
            </w:pPr>
            <w:r>
              <w:rPr>
                <w:b/>
              </w:rPr>
              <w:t>CDBG</w:t>
            </w:r>
          </w:p>
        </w:tc>
        <w:tc>
          <w:tcPr>
            <w:tcW w:w="992" w:type="pct"/>
          </w:tcPr>
          <w:p w14:paraId="4E55E37D" w14:textId="77777777" w:rsidR="006F46BF" w:rsidRDefault="00000000">
            <w:pPr>
              <w:spacing w:after="0"/>
              <w:jc w:val="center"/>
              <w:rPr>
                <w:b/>
              </w:rPr>
            </w:pPr>
            <w:r>
              <w:rPr>
                <w:b/>
              </w:rPr>
              <w:t>HOME</w:t>
            </w:r>
          </w:p>
        </w:tc>
      </w:tr>
      <w:tr w:rsidR="006F46BF" w14:paraId="466C9A56" w14:textId="77777777">
        <w:trPr>
          <w:cantSplit/>
        </w:trPr>
        <w:tc>
          <w:tcPr>
            <w:tcW w:w="4821" w:type="dxa"/>
            <w:vAlign w:val="bottom"/>
          </w:tcPr>
          <w:p w14:paraId="6E0F9545" w14:textId="77777777" w:rsidR="006F46BF" w:rsidRDefault="00000000">
            <w:pPr>
              <w:spacing w:beforeAutospacing="1" w:afterAutospacing="1"/>
            </w:pPr>
            <w:r>
              <w:rPr>
                <w:color w:val="000000"/>
              </w:rPr>
              <w:t>White</w:t>
            </w:r>
          </w:p>
        </w:tc>
        <w:tc>
          <w:tcPr>
            <w:tcW w:w="1589" w:type="dxa"/>
            <w:vAlign w:val="bottom"/>
          </w:tcPr>
          <w:p w14:paraId="66DE77E4" w14:textId="77777777" w:rsidR="006F46BF" w:rsidRDefault="00000000">
            <w:pPr>
              <w:spacing w:beforeAutospacing="1" w:afterAutospacing="1"/>
              <w:jc w:val="right"/>
            </w:pPr>
            <w:r>
              <w:rPr>
                <w:color w:val="000000"/>
              </w:rPr>
              <w:t>1,151</w:t>
            </w:r>
          </w:p>
        </w:tc>
        <w:tc>
          <w:tcPr>
            <w:tcW w:w="1589" w:type="dxa"/>
            <w:vAlign w:val="bottom"/>
          </w:tcPr>
          <w:p w14:paraId="7FAA6188" w14:textId="77777777" w:rsidR="006F46BF" w:rsidRDefault="00000000">
            <w:pPr>
              <w:spacing w:beforeAutospacing="1" w:afterAutospacing="1"/>
              <w:jc w:val="right"/>
            </w:pPr>
            <w:r>
              <w:rPr>
                <w:color w:val="000000"/>
              </w:rPr>
              <w:t>34</w:t>
            </w:r>
          </w:p>
        </w:tc>
      </w:tr>
      <w:tr w:rsidR="006F46BF" w14:paraId="211B3C6F" w14:textId="77777777">
        <w:trPr>
          <w:cantSplit/>
        </w:trPr>
        <w:tc>
          <w:tcPr>
            <w:tcW w:w="4821" w:type="dxa"/>
            <w:vAlign w:val="bottom"/>
          </w:tcPr>
          <w:p w14:paraId="4F69BFDD" w14:textId="77777777" w:rsidR="006F46BF" w:rsidRDefault="00000000">
            <w:pPr>
              <w:spacing w:beforeAutospacing="1" w:afterAutospacing="1"/>
            </w:pPr>
            <w:r>
              <w:rPr>
                <w:color w:val="000000"/>
              </w:rPr>
              <w:t>Black or African American</w:t>
            </w:r>
          </w:p>
        </w:tc>
        <w:tc>
          <w:tcPr>
            <w:tcW w:w="1589" w:type="dxa"/>
            <w:vAlign w:val="bottom"/>
          </w:tcPr>
          <w:p w14:paraId="26F26D55" w14:textId="77777777" w:rsidR="006F46BF" w:rsidRDefault="00000000">
            <w:pPr>
              <w:spacing w:beforeAutospacing="1" w:afterAutospacing="1"/>
              <w:jc w:val="right"/>
            </w:pPr>
            <w:r>
              <w:rPr>
                <w:color w:val="000000"/>
              </w:rPr>
              <w:t>352</w:t>
            </w:r>
          </w:p>
        </w:tc>
        <w:tc>
          <w:tcPr>
            <w:tcW w:w="1589" w:type="dxa"/>
            <w:vAlign w:val="bottom"/>
          </w:tcPr>
          <w:p w14:paraId="3D592CDF" w14:textId="77777777" w:rsidR="006F46BF" w:rsidRDefault="00000000">
            <w:pPr>
              <w:spacing w:beforeAutospacing="1" w:afterAutospacing="1"/>
              <w:jc w:val="right"/>
            </w:pPr>
            <w:r>
              <w:rPr>
                <w:color w:val="000000"/>
              </w:rPr>
              <w:t>4</w:t>
            </w:r>
          </w:p>
        </w:tc>
      </w:tr>
      <w:tr w:rsidR="006F46BF" w14:paraId="0FDA53E8" w14:textId="77777777">
        <w:trPr>
          <w:cantSplit/>
        </w:trPr>
        <w:tc>
          <w:tcPr>
            <w:tcW w:w="4821" w:type="dxa"/>
            <w:vAlign w:val="bottom"/>
          </w:tcPr>
          <w:p w14:paraId="2CEA2480" w14:textId="77777777" w:rsidR="006F46BF" w:rsidRDefault="00000000">
            <w:pPr>
              <w:spacing w:beforeAutospacing="1" w:afterAutospacing="1"/>
            </w:pPr>
            <w:r>
              <w:rPr>
                <w:color w:val="000000"/>
              </w:rPr>
              <w:t>Asian</w:t>
            </w:r>
          </w:p>
        </w:tc>
        <w:tc>
          <w:tcPr>
            <w:tcW w:w="1589" w:type="dxa"/>
            <w:vAlign w:val="bottom"/>
          </w:tcPr>
          <w:p w14:paraId="2D87027D" w14:textId="77777777" w:rsidR="006F46BF" w:rsidRDefault="00000000">
            <w:pPr>
              <w:spacing w:beforeAutospacing="1" w:afterAutospacing="1"/>
              <w:jc w:val="right"/>
            </w:pPr>
            <w:r>
              <w:rPr>
                <w:color w:val="000000"/>
              </w:rPr>
              <w:t>5</w:t>
            </w:r>
          </w:p>
        </w:tc>
        <w:tc>
          <w:tcPr>
            <w:tcW w:w="1589" w:type="dxa"/>
            <w:vAlign w:val="bottom"/>
          </w:tcPr>
          <w:p w14:paraId="2F7753E5" w14:textId="77777777" w:rsidR="006F46BF" w:rsidRDefault="00000000">
            <w:pPr>
              <w:spacing w:beforeAutospacing="1" w:afterAutospacing="1"/>
              <w:jc w:val="right"/>
            </w:pPr>
            <w:r>
              <w:rPr>
                <w:color w:val="000000"/>
              </w:rPr>
              <w:t>0</w:t>
            </w:r>
          </w:p>
        </w:tc>
      </w:tr>
      <w:tr w:rsidR="006F46BF" w14:paraId="13478775" w14:textId="77777777">
        <w:trPr>
          <w:cantSplit/>
        </w:trPr>
        <w:tc>
          <w:tcPr>
            <w:tcW w:w="4821" w:type="dxa"/>
            <w:vAlign w:val="bottom"/>
          </w:tcPr>
          <w:p w14:paraId="45D1AB58" w14:textId="77777777" w:rsidR="006F46BF" w:rsidRDefault="00000000">
            <w:pPr>
              <w:spacing w:beforeAutospacing="1" w:afterAutospacing="1"/>
            </w:pPr>
            <w:r>
              <w:rPr>
                <w:color w:val="000000"/>
              </w:rPr>
              <w:t>American Indian or American Native</w:t>
            </w:r>
          </w:p>
        </w:tc>
        <w:tc>
          <w:tcPr>
            <w:tcW w:w="1589" w:type="dxa"/>
            <w:vAlign w:val="bottom"/>
          </w:tcPr>
          <w:p w14:paraId="17A7346D" w14:textId="77777777" w:rsidR="006F46BF" w:rsidRDefault="00000000">
            <w:pPr>
              <w:spacing w:beforeAutospacing="1" w:afterAutospacing="1"/>
              <w:jc w:val="right"/>
            </w:pPr>
            <w:r>
              <w:rPr>
                <w:color w:val="000000"/>
              </w:rPr>
              <w:t>3</w:t>
            </w:r>
          </w:p>
        </w:tc>
        <w:tc>
          <w:tcPr>
            <w:tcW w:w="1589" w:type="dxa"/>
            <w:vAlign w:val="bottom"/>
          </w:tcPr>
          <w:p w14:paraId="0492EAD4" w14:textId="77777777" w:rsidR="006F46BF" w:rsidRDefault="00000000">
            <w:pPr>
              <w:spacing w:beforeAutospacing="1" w:afterAutospacing="1"/>
              <w:jc w:val="right"/>
            </w:pPr>
            <w:r>
              <w:rPr>
                <w:color w:val="000000"/>
              </w:rPr>
              <w:t>0</w:t>
            </w:r>
          </w:p>
        </w:tc>
      </w:tr>
      <w:tr w:rsidR="006F46BF" w14:paraId="79698C66" w14:textId="77777777">
        <w:trPr>
          <w:cantSplit/>
        </w:trPr>
        <w:tc>
          <w:tcPr>
            <w:tcW w:w="4821" w:type="dxa"/>
            <w:vAlign w:val="bottom"/>
          </w:tcPr>
          <w:p w14:paraId="3A244F13" w14:textId="77777777" w:rsidR="006F46BF" w:rsidRDefault="00000000">
            <w:pPr>
              <w:spacing w:beforeAutospacing="1" w:afterAutospacing="1"/>
            </w:pPr>
            <w:r>
              <w:rPr>
                <w:color w:val="000000"/>
              </w:rPr>
              <w:t>Native Hawaiian or Other Pacific Islander</w:t>
            </w:r>
          </w:p>
        </w:tc>
        <w:tc>
          <w:tcPr>
            <w:tcW w:w="1589" w:type="dxa"/>
            <w:vAlign w:val="bottom"/>
          </w:tcPr>
          <w:p w14:paraId="1DFA4EE4" w14:textId="77777777" w:rsidR="006F46BF" w:rsidRDefault="00000000">
            <w:pPr>
              <w:spacing w:beforeAutospacing="1" w:afterAutospacing="1"/>
              <w:jc w:val="right"/>
            </w:pPr>
            <w:r>
              <w:rPr>
                <w:color w:val="000000"/>
              </w:rPr>
              <w:t>8</w:t>
            </w:r>
          </w:p>
        </w:tc>
        <w:tc>
          <w:tcPr>
            <w:tcW w:w="1589" w:type="dxa"/>
            <w:vAlign w:val="bottom"/>
          </w:tcPr>
          <w:p w14:paraId="26B14324" w14:textId="77777777" w:rsidR="006F46BF" w:rsidRDefault="00000000">
            <w:pPr>
              <w:spacing w:beforeAutospacing="1" w:afterAutospacing="1"/>
              <w:jc w:val="right"/>
            </w:pPr>
            <w:r>
              <w:rPr>
                <w:color w:val="000000"/>
              </w:rPr>
              <w:t>0</w:t>
            </w:r>
          </w:p>
        </w:tc>
      </w:tr>
    </w:tbl>
    <w:p w14:paraId="613C1A77" w14:textId="77777777" w:rsidR="006F46BF" w:rsidRDefault="006F46BF">
      <w:pPr>
        <w:pStyle w:val="NoSpacing"/>
        <w:rPr>
          <w:vanish/>
        </w:rPr>
      </w:pPr>
    </w:p>
    <w:tbl>
      <w:tblPr>
        <w:tblW w:w="4176"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707"/>
        <w:gridCol w:w="1551"/>
        <w:gridCol w:w="1551"/>
      </w:tblGrid>
      <w:tr w:rsidR="006F46BF" w14:paraId="777F72A5" w14:textId="77777777">
        <w:trPr>
          <w:cantSplit/>
          <w:hidden/>
        </w:trPr>
        <w:tc>
          <w:tcPr>
            <w:tcW w:w="3009" w:type="pct"/>
          </w:tcPr>
          <w:p w14:paraId="59D03958" w14:textId="77777777" w:rsidR="006F46BF" w:rsidRDefault="006F46BF">
            <w:pPr>
              <w:keepNext/>
              <w:widowControl w:val="0"/>
              <w:spacing w:after="0" w:line="240" w:lineRule="auto"/>
              <w:rPr>
                <w:vanish/>
              </w:rPr>
            </w:pPr>
          </w:p>
        </w:tc>
        <w:tc>
          <w:tcPr>
            <w:tcW w:w="992" w:type="pct"/>
          </w:tcPr>
          <w:p w14:paraId="2434D750" w14:textId="77777777" w:rsidR="006F46BF" w:rsidRDefault="006F46BF">
            <w:pPr>
              <w:keepNext/>
              <w:widowControl w:val="0"/>
              <w:spacing w:after="0" w:line="240" w:lineRule="auto"/>
              <w:jc w:val="center"/>
              <w:rPr>
                <w:b/>
                <w:vanish/>
              </w:rPr>
            </w:pPr>
          </w:p>
        </w:tc>
        <w:tc>
          <w:tcPr>
            <w:tcW w:w="992" w:type="pct"/>
          </w:tcPr>
          <w:p w14:paraId="1A34D296" w14:textId="77777777" w:rsidR="006F46BF" w:rsidRDefault="006F46BF">
            <w:pPr>
              <w:keepNext/>
              <w:widowControl w:val="0"/>
              <w:spacing w:after="0" w:line="240" w:lineRule="auto"/>
              <w:jc w:val="center"/>
              <w:rPr>
                <w:b/>
                <w:vanish/>
              </w:rPr>
            </w:pPr>
          </w:p>
        </w:tc>
      </w:tr>
      <w:tr w:rsidR="006F46BF" w14:paraId="4B5796BB" w14:textId="77777777">
        <w:trPr>
          <w:cantSplit/>
        </w:trPr>
        <w:tc>
          <w:tcPr>
            <w:tcW w:w="4821" w:type="dxa"/>
            <w:vAlign w:val="bottom"/>
          </w:tcPr>
          <w:p w14:paraId="6F5E1FF2" w14:textId="77777777" w:rsidR="006F46BF" w:rsidRDefault="00000000">
            <w:pPr>
              <w:spacing w:beforeAutospacing="1" w:afterAutospacing="1"/>
            </w:pPr>
            <w:r>
              <w:rPr>
                <w:b/>
                <w:color w:val="000000"/>
              </w:rPr>
              <w:t>Total</w:t>
            </w:r>
          </w:p>
        </w:tc>
        <w:tc>
          <w:tcPr>
            <w:tcW w:w="1589" w:type="dxa"/>
            <w:vAlign w:val="bottom"/>
          </w:tcPr>
          <w:p w14:paraId="08FC786F" w14:textId="77777777" w:rsidR="006F46BF" w:rsidRDefault="00000000">
            <w:pPr>
              <w:spacing w:beforeAutospacing="1" w:afterAutospacing="1"/>
              <w:jc w:val="right"/>
            </w:pPr>
            <w:r>
              <w:rPr>
                <w:b/>
                <w:color w:val="000000"/>
              </w:rPr>
              <w:t>1,519</w:t>
            </w:r>
          </w:p>
        </w:tc>
        <w:tc>
          <w:tcPr>
            <w:tcW w:w="1589" w:type="dxa"/>
            <w:vAlign w:val="bottom"/>
          </w:tcPr>
          <w:p w14:paraId="58A4F4FE" w14:textId="77777777" w:rsidR="006F46BF" w:rsidRDefault="00000000">
            <w:pPr>
              <w:spacing w:beforeAutospacing="1" w:afterAutospacing="1"/>
              <w:jc w:val="right"/>
            </w:pPr>
            <w:r>
              <w:rPr>
                <w:b/>
                <w:color w:val="000000"/>
              </w:rPr>
              <w:t>38</w:t>
            </w:r>
          </w:p>
        </w:tc>
      </w:tr>
    </w:tbl>
    <w:p w14:paraId="7A3E5155" w14:textId="77777777" w:rsidR="006F46BF" w:rsidRDefault="006F46BF">
      <w:pPr>
        <w:pStyle w:val="NoSpacing"/>
        <w:rPr>
          <w:vanish/>
        </w:rPr>
      </w:pPr>
    </w:p>
    <w:tbl>
      <w:tblPr>
        <w:tblW w:w="4176"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707"/>
        <w:gridCol w:w="1551"/>
        <w:gridCol w:w="1551"/>
      </w:tblGrid>
      <w:tr w:rsidR="006F46BF" w14:paraId="646DE017" w14:textId="77777777">
        <w:trPr>
          <w:cantSplit/>
          <w:hidden/>
        </w:trPr>
        <w:tc>
          <w:tcPr>
            <w:tcW w:w="3009" w:type="pct"/>
          </w:tcPr>
          <w:p w14:paraId="43C31C12" w14:textId="77777777" w:rsidR="006F46BF" w:rsidRDefault="006F46BF">
            <w:pPr>
              <w:keepNext/>
              <w:widowControl w:val="0"/>
              <w:spacing w:after="0" w:line="240" w:lineRule="auto"/>
              <w:rPr>
                <w:vanish/>
              </w:rPr>
            </w:pPr>
          </w:p>
        </w:tc>
        <w:tc>
          <w:tcPr>
            <w:tcW w:w="992" w:type="pct"/>
          </w:tcPr>
          <w:p w14:paraId="2F18B17C" w14:textId="77777777" w:rsidR="006F46BF" w:rsidRDefault="006F46BF">
            <w:pPr>
              <w:keepNext/>
              <w:widowControl w:val="0"/>
              <w:spacing w:after="0" w:line="240" w:lineRule="auto"/>
              <w:jc w:val="center"/>
              <w:rPr>
                <w:b/>
                <w:vanish/>
              </w:rPr>
            </w:pPr>
          </w:p>
        </w:tc>
        <w:tc>
          <w:tcPr>
            <w:tcW w:w="992" w:type="pct"/>
          </w:tcPr>
          <w:p w14:paraId="615DBECE" w14:textId="77777777" w:rsidR="006F46BF" w:rsidRDefault="006F46BF">
            <w:pPr>
              <w:keepNext/>
              <w:widowControl w:val="0"/>
              <w:spacing w:after="0" w:line="240" w:lineRule="auto"/>
              <w:jc w:val="center"/>
              <w:rPr>
                <w:b/>
                <w:vanish/>
              </w:rPr>
            </w:pPr>
          </w:p>
        </w:tc>
      </w:tr>
      <w:tr w:rsidR="006F46BF" w14:paraId="35FBCBA9" w14:textId="77777777">
        <w:trPr>
          <w:cantSplit/>
        </w:trPr>
        <w:tc>
          <w:tcPr>
            <w:tcW w:w="4821" w:type="dxa"/>
            <w:vAlign w:val="bottom"/>
          </w:tcPr>
          <w:p w14:paraId="663ACAD7" w14:textId="77777777" w:rsidR="006F46BF" w:rsidRDefault="00000000">
            <w:pPr>
              <w:spacing w:beforeAutospacing="1" w:afterAutospacing="1"/>
            </w:pPr>
            <w:r>
              <w:rPr>
                <w:color w:val="000000"/>
              </w:rPr>
              <w:t>Hispanic</w:t>
            </w:r>
          </w:p>
        </w:tc>
        <w:tc>
          <w:tcPr>
            <w:tcW w:w="1589" w:type="dxa"/>
            <w:vAlign w:val="bottom"/>
          </w:tcPr>
          <w:p w14:paraId="788476F0" w14:textId="77777777" w:rsidR="006F46BF" w:rsidRDefault="00000000">
            <w:pPr>
              <w:spacing w:beforeAutospacing="1" w:afterAutospacing="1"/>
              <w:jc w:val="right"/>
            </w:pPr>
            <w:r>
              <w:rPr>
                <w:color w:val="000000"/>
              </w:rPr>
              <w:t>124</w:t>
            </w:r>
          </w:p>
        </w:tc>
        <w:tc>
          <w:tcPr>
            <w:tcW w:w="1589" w:type="dxa"/>
            <w:vAlign w:val="bottom"/>
          </w:tcPr>
          <w:p w14:paraId="0CD3D76B" w14:textId="77777777" w:rsidR="006F46BF" w:rsidRDefault="00000000">
            <w:pPr>
              <w:spacing w:beforeAutospacing="1" w:afterAutospacing="1"/>
              <w:jc w:val="right"/>
            </w:pPr>
            <w:r>
              <w:rPr>
                <w:color w:val="000000"/>
              </w:rPr>
              <w:t>8</w:t>
            </w:r>
          </w:p>
        </w:tc>
      </w:tr>
      <w:tr w:rsidR="006F46BF" w14:paraId="6C30AFCB" w14:textId="77777777">
        <w:trPr>
          <w:cantSplit/>
        </w:trPr>
        <w:tc>
          <w:tcPr>
            <w:tcW w:w="4821" w:type="dxa"/>
            <w:vAlign w:val="bottom"/>
          </w:tcPr>
          <w:p w14:paraId="17C0D72E" w14:textId="77777777" w:rsidR="006F46BF" w:rsidRDefault="00000000">
            <w:pPr>
              <w:spacing w:beforeAutospacing="1" w:afterAutospacing="1"/>
            </w:pPr>
            <w:r>
              <w:rPr>
                <w:color w:val="000000"/>
              </w:rPr>
              <w:t>Not Hispanic</w:t>
            </w:r>
          </w:p>
        </w:tc>
        <w:tc>
          <w:tcPr>
            <w:tcW w:w="1589" w:type="dxa"/>
            <w:vAlign w:val="bottom"/>
          </w:tcPr>
          <w:p w14:paraId="5C0BCFCF" w14:textId="77777777" w:rsidR="006F46BF" w:rsidRDefault="00000000">
            <w:pPr>
              <w:spacing w:beforeAutospacing="1" w:afterAutospacing="1"/>
              <w:jc w:val="right"/>
            </w:pPr>
            <w:r>
              <w:rPr>
                <w:color w:val="000000"/>
              </w:rPr>
              <w:t>1,395</w:t>
            </w:r>
          </w:p>
        </w:tc>
        <w:tc>
          <w:tcPr>
            <w:tcW w:w="1589" w:type="dxa"/>
            <w:vAlign w:val="bottom"/>
          </w:tcPr>
          <w:p w14:paraId="4C3018B5" w14:textId="77777777" w:rsidR="006F46BF" w:rsidRDefault="00000000">
            <w:pPr>
              <w:spacing w:beforeAutospacing="1" w:afterAutospacing="1"/>
              <w:jc w:val="right"/>
            </w:pPr>
            <w:r>
              <w:rPr>
                <w:color w:val="000000"/>
              </w:rPr>
              <w:t>30</w:t>
            </w:r>
          </w:p>
        </w:tc>
      </w:tr>
    </w:tbl>
    <w:p w14:paraId="22D4E8FF" w14:textId="77777777" w:rsidR="006F46BF" w:rsidRDefault="006F46BF">
      <w:pPr>
        <w:pStyle w:val="NoSpacing"/>
        <w:rPr>
          <w:vanish/>
        </w:rPr>
      </w:pPr>
    </w:p>
    <w:p w14:paraId="5CFB47FD" w14:textId="77777777" w:rsidR="006F46BF" w:rsidRDefault="006F46BF">
      <w:pPr>
        <w:pStyle w:val="NoSpacing"/>
        <w:rPr>
          <w:vanish/>
        </w:rPr>
      </w:pPr>
    </w:p>
    <w:p w14:paraId="2F05AE72" w14:textId="77777777" w:rsidR="006F46BF" w:rsidRDefault="006F46BF">
      <w:pPr>
        <w:pStyle w:val="NoSpacing"/>
        <w:rPr>
          <w:vanish/>
        </w:rPr>
      </w:pPr>
    </w:p>
    <w:p w14:paraId="080216B9" w14:textId="77777777" w:rsidR="006F46BF" w:rsidRDefault="006F46BF">
      <w:pPr>
        <w:pStyle w:val="NoSpacing"/>
        <w:rPr>
          <w:vanish/>
        </w:rPr>
      </w:pPr>
    </w:p>
    <w:p w14:paraId="532E5960" w14:textId="77777777" w:rsidR="006F46BF" w:rsidRDefault="006F46BF">
      <w:pPr>
        <w:pStyle w:val="NoSpacing"/>
        <w:rPr>
          <w:vanish/>
        </w:rPr>
      </w:pPr>
    </w:p>
    <w:p w14:paraId="34278B1F" w14:textId="77777777" w:rsidR="006F46BF" w:rsidRDefault="006F46BF">
      <w:pPr>
        <w:pStyle w:val="NoSpacing"/>
      </w:pPr>
    </w:p>
    <w:p w14:paraId="6C10F688" w14:textId="77777777" w:rsidR="006F46BF" w:rsidRDefault="006F46BF">
      <w:pPr>
        <w:pStyle w:val="NoSpacing"/>
        <w:rPr>
          <w:vanish/>
        </w:rPr>
      </w:pPr>
    </w:p>
    <w:p w14:paraId="61CEAA2D" w14:textId="77777777" w:rsidR="006F46BF" w:rsidRDefault="006F46BF">
      <w:pPr>
        <w:pStyle w:val="NoSpacing"/>
        <w:rPr>
          <w:vanish/>
        </w:rPr>
      </w:pPr>
    </w:p>
    <w:p w14:paraId="50637A68" w14:textId="77777777" w:rsidR="006F46BF" w:rsidRDefault="006F46BF">
      <w:pPr>
        <w:pStyle w:val="NoSpacing"/>
        <w:rPr>
          <w:vanish/>
        </w:rPr>
      </w:pPr>
    </w:p>
    <w:p w14:paraId="135BBD81" w14:textId="77777777" w:rsidR="006F46BF" w:rsidRDefault="006F46BF">
      <w:pPr>
        <w:pStyle w:val="NoSpacing"/>
        <w:rPr>
          <w:vanish/>
        </w:rPr>
      </w:pPr>
    </w:p>
    <w:p w14:paraId="4181A98C" w14:textId="77777777" w:rsidR="006F46BF" w:rsidRDefault="006F46BF">
      <w:pPr>
        <w:pStyle w:val="NoSpacing"/>
        <w:rPr>
          <w:vanish/>
        </w:rPr>
      </w:pPr>
    </w:p>
    <w:p w14:paraId="265235BB" w14:textId="77777777" w:rsidR="006F46BF" w:rsidRDefault="006F46BF">
      <w:pPr>
        <w:pStyle w:val="NoSpacing"/>
        <w:rPr>
          <w:vanish/>
        </w:rPr>
      </w:pPr>
    </w:p>
    <w:p w14:paraId="3AE4008E" w14:textId="77777777" w:rsidR="006F46BF" w:rsidRDefault="006F46BF">
      <w:pPr>
        <w:pStyle w:val="NoSpacing"/>
        <w:rPr>
          <w:vanish/>
        </w:rPr>
      </w:pPr>
    </w:p>
    <w:p w14:paraId="57F61536" w14:textId="77777777" w:rsidR="006F46BF" w:rsidRDefault="006F46BF">
      <w:pPr>
        <w:pStyle w:val="NoSpacing"/>
        <w:rPr>
          <w:vanish/>
        </w:rPr>
      </w:pPr>
    </w:p>
    <w:p w14:paraId="1698995A" w14:textId="77777777" w:rsidR="006F46BF" w:rsidRDefault="006F46BF">
      <w:pPr>
        <w:pStyle w:val="NoSpacing"/>
        <w:rPr>
          <w:vanish/>
        </w:rPr>
      </w:pPr>
    </w:p>
    <w:p w14:paraId="773FD846" w14:textId="77777777" w:rsidR="006F46BF" w:rsidRDefault="006F46BF">
      <w:pPr>
        <w:pStyle w:val="NoSpacing"/>
        <w:rPr>
          <w:vanish/>
        </w:rPr>
      </w:pPr>
    </w:p>
    <w:p w14:paraId="6758F9AD" w14:textId="77777777" w:rsidR="006F46BF" w:rsidRDefault="006F46BF">
      <w:pPr>
        <w:keepNext/>
        <w:widowControl w:val="0"/>
        <w:spacing w:after="0" w:line="240" w:lineRule="auto"/>
        <w:rPr>
          <w:b/>
          <w:vanish/>
          <w:sz w:val="24"/>
          <w:szCs w:val="24"/>
        </w:rPr>
      </w:pPr>
    </w:p>
    <w:p w14:paraId="5B6F529D" w14:textId="77777777" w:rsidR="006F46BF" w:rsidRDefault="006F46BF">
      <w:pPr>
        <w:pStyle w:val="NoSpacing"/>
        <w:rPr>
          <w:vanish/>
        </w:rPr>
      </w:pPr>
    </w:p>
    <w:p w14:paraId="58C13909" w14:textId="77777777" w:rsidR="006F46BF" w:rsidRDefault="006F46BF">
      <w:pPr>
        <w:pStyle w:val="NoSpacing"/>
        <w:rPr>
          <w:vanish/>
        </w:rPr>
      </w:pPr>
    </w:p>
    <w:p w14:paraId="07B5EC9C" w14:textId="77777777" w:rsidR="006F46BF" w:rsidRDefault="006F46BF">
      <w:pPr>
        <w:pStyle w:val="NoSpacing"/>
        <w:rPr>
          <w:vanish/>
        </w:rPr>
      </w:pPr>
    </w:p>
    <w:p w14:paraId="6942C415" w14:textId="77777777" w:rsidR="006F46BF" w:rsidRDefault="006F46BF">
      <w:pPr>
        <w:pStyle w:val="NoSpacing"/>
        <w:rPr>
          <w:vanish/>
        </w:rPr>
      </w:pPr>
    </w:p>
    <w:p w14:paraId="4169484C" w14:textId="77777777" w:rsidR="006F46BF" w:rsidRDefault="006F46BF">
      <w:pPr>
        <w:pStyle w:val="NoSpacing"/>
        <w:rPr>
          <w:vanish/>
        </w:rPr>
      </w:pPr>
    </w:p>
    <w:p w14:paraId="7F07704F" w14:textId="77777777" w:rsidR="006F46BF" w:rsidRDefault="006F46BF">
      <w:pPr>
        <w:pStyle w:val="NoSpacing"/>
        <w:rPr>
          <w:vanish/>
        </w:rPr>
      </w:pPr>
    </w:p>
    <w:p w14:paraId="5B6C8BB2" w14:textId="77777777" w:rsidR="006F46BF" w:rsidRDefault="006F46BF">
      <w:pPr>
        <w:pStyle w:val="NoSpacing"/>
        <w:rPr>
          <w:vanish/>
        </w:rPr>
      </w:pPr>
    </w:p>
    <w:p w14:paraId="6E381563" w14:textId="77777777" w:rsidR="006F46BF" w:rsidRDefault="006F46BF">
      <w:pPr>
        <w:pStyle w:val="NoSpacing"/>
        <w:rPr>
          <w:vanish/>
        </w:rPr>
      </w:pPr>
    </w:p>
    <w:p w14:paraId="78995C1D" w14:textId="77777777" w:rsidR="006F46BF" w:rsidRDefault="006F46BF">
      <w:pPr>
        <w:pStyle w:val="NoSpacing"/>
        <w:rPr>
          <w:vanish/>
        </w:rPr>
      </w:pPr>
    </w:p>
    <w:p w14:paraId="2E6FCD21" w14:textId="77777777" w:rsidR="006F46BF" w:rsidRDefault="006F46BF">
      <w:pPr>
        <w:pStyle w:val="NoSpacing"/>
        <w:rPr>
          <w:vanish/>
        </w:rPr>
      </w:pPr>
    </w:p>
    <w:p w14:paraId="121D49ED" w14:textId="77777777" w:rsidR="006F46BF" w:rsidRDefault="006F46BF">
      <w:pPr>
        <w:pStyle w:val="NoSpacing"/>
        <w:rPr>
          <w:vanish/>
        </w:rPr>
      </w:pPr>
    </w:p>
    <w:p w14:paraId="08A9C1E6" w14:textId="77777777" w:rsidR="006F46BF" w:rsidRDefault="006F46BF">
      <w:pPr>
        <w:pStyle w:val="NoSpacing"/>
        <w:rPr>
          <w:vanish/>
        </w:rPr>
      </w:pPr>
    </w:p>
    <w:p w14:paraId="73803BE4" w14:textId="77777777" w:rsidR="006F46BF" w:rsidRDefault="006F46BF">
      <w:pPr>
        <w:pStyle w:val="NoSpacing"/>
        <w:rPr>
          <w:vanish/>
        </w:rPr>
      </w:pPr>
    </w:p>
    <w:p w14:paraId="19868188" w14:textId="77777777" w:rsidR="006F46BF" w:rsidRDefault="006F46BF">
      <w:pPr>
        <w:pStyle w:val="NoSpacing"/>
        <w:rPr>
          <w:vanish/>
        </w:rPr>
      </w:pPr>
    </w:p>
    <w:p w14:paraId="582400DE" w14:textId="77777777" w:rsidR="006F46BF" w:rsidRDefault="006F46BF">
      <w:pPr>
        <w:pStyle w:val="NoSpacing"/>
        <w:rPr>
          <w:vanish/>
        </w:rPr>
      </w:pPr>
    </w:p>
    <w:p w14:paraId="784222E8" w14:textId="77777777" w:rsidR="006F46BF" w:rsidRDefault="006F46BF">
      <w:pPr>
        <w:pStyle w:val="NoSpacing"/>
        <w:rPr>
          <w:vanish/>
        </w:rPr>
      </w:pPr>
    </w:p>
    <w:p w14:paraId="1C420B74" w14:textId="77777777" w:rsidR="006F46BF" w:rsidRDefault="006F46BF">
      <w:pPr>
        <w:pStyle w:val="NoSpacing"/>
        <w:rPr>
          <w:vanish/>
        </w:rPr>
      </w:pPr>
    </w:p>
    <w:p w14:paraId="2CBE2DA5" w14:textId="77777777" w:rsidR="006F46BF" w:rsidRDefault="006F46BF">
      <w:pPr>
        <w:pStyle w:val="NoSpacing"/>
        <w:rPr>
          <w:vanish/>
        </w:rPr>
      </w:pPr>
    </w:p>
    <w:p w14:paraId="16E9D7E1" w14:textId="77777777" w:rsidR="006F46BF" w:rsidRDefault="006F46BF">
      <w:pPr>
        <w:pStyle w:val="NoSpacing"/>
        <w:rPr>
          <w:vanish/>
        </w:rPr>
      </w:pPr>
    </w:p>
    <w:p w14:paraId="240B8A69" w14:textId="77777777" w:rsidR="006F46BF" w:rsidRDefault="00000000">
      <w:pPr>
        <w:keepNext/>
        <w:widowControl w:val="0"/>
        <w:ind w:firstLine="720"/>
        <w:rPr>
          <w:b/>
          <w:color w:val="000000" w:themeColor="text1"/>
          <w:sz w:val="20"/>
          <w:szCs w:val="20"/>
        </w:rPr>
      </w:pPr>
      <w:r>
        <w:rPr>
          <w:rFonts w:asciiTheme="minorHAnsi" w:hAnsiTheme="minorHAnsi"/>
          <w:b/>
          <w:sz w:val="20"/>
          <w:szCs w:val="20"/>
        </w:rPr>
        <w:t xml:space="preserve">Table </w:t>
      </w:r>
      <w:r>
        <w:rPr>
          <w:rFonts w:asciiTheme="minorHAnsi" w:hAnsiTheme="minorHAnsi"/>
          <w:b/>
          <w:sz w:val="20"/>
          <w:szCs w:val="20"/>
        </w:rPr>
        <w:fldChar w:fldCharType="begin"/>
      </w:r>
      <w:r>
        <w:rPr>
          <w:rFonts w:asciiTheme="minorHAnsi" w:hAnsiTheme="minorHAnsi"/>
          <w:b/>
          <w:sz w:val="20"/>
          <w:szCs w:val="20"/>
        </w:rPr>
        <w:instrText xml:space="preserve"> SEQ Table \* ARABIC </w:instrText>
      </w:r>
      <w:r>
        <w:rPr>
          <w:rFonts w:asciiTheme="minorHAnsi" w:hAnsiTheme="minorHAnsi"/>
          <w:b/>
          <w:sz w:val="20"/>
          <w:szCs w:val="20"/>
        </w:rPr>
        <w:fldChar w:fldCharType="separate"/>
      </w:r>
      <w:r>
        <w:rPr>
          <w:rFonts w:asciiTheme="minorHAnsi" w:hAnsiTheme="minorHAnsi"/>
          <w:b/>
          <w:sz w:val="20"/>
          <w:szCs w:val="20"/>
        </w:rPr>
        <w:t>2</w:t>
      </w:r>
      <w:r>
        <w:rPr>
          <w:rFonts w:asciiTheme="minorHAnsi" w:hAnsiTheme="minorHAnsi"/>
          <w:b/>
          <w:sz w:val="20"/>
          <w:szCs w:val="20"/>
        </w:rPr>
        <w:fldChar w:fldCharType="end"/>
      </w:r>
      <w:r>
        <w:rPr>
          <w:rFonts w:asciiTheme="minorHAnsi" w:hAnsiTheme="minorHAnsi"/>
          <w:b/>
          <w:sz w:val="20"/>
          <w:szCs w:val="20"/>
        </w:rPr>
        <w:t xml:space="preserve"> – Table of assistance to racial and ethnic populations by source of funds</w:t>
      </w:r>
      <w:r>
        <w:rPr>
          <w:b/>
          <w:color w:val="000000" w:themeColor="text1"/>
          <w:sz w:val="20"/>
          <w:szCs w:val="20"/>
        </w:rPr>
        <w:t xml:space="preserve"> </w:t>
      </w:r>
    </w:p>
    <w:p w14:paraId="69C9B668" w14:textId="77777777" w:rsidR="006F46BF" w:rsidRDefault="006F46BF">
      <w:pPr>
        <w:widowControl w:val="0"/>
        <w:rPr>
          <w:b/>
          <w:sz w:val="24"/>
          <w:szCs w:val="24"/>
        </w:rPr>
      </w:pPr>
    </w:p>
    <w:p w14:paraId="7A67B2EE" w14:textId="77777777" w:rsidR="006F46BF" w:rsidRDefault="00000000">
      <w:pPr>
        <w:widowControl w:val="0"/>
        <w:rPr>
          <w:b/>
          <w:sz w:val="24"/>
          <w:szCs w:val="24"/>
        </w:rPr>
      </w:pPr>
      <w:r>
        <w:rPr>
          <w:b/>
          <w:sz w:val="24"/>
          <w:szCs w:val="24"/>
        </w:rPr>
        <w:t>Narrative</w:t>
      </w:r>
    </w:p>
    <w:p w14:paraId="77485E07" w14:textId="77777777" w:rsidR="006F46BF" w:rsidRDefault="00000000">
      <w:pPr>
        <w:widowControl w:val="0"/>
        <w:spacing w:beforeAutospacing="1" w:afterAutospacing="1"/>
      </w:pPr>
      <w:r>
        <w:t xml:space="preserve">The City of Hamilton has a diverse geographic area consisting of a varying range of income levels and minority groups. Historically, the jurisdiction is split into six (6) wards (1 (North), 1(South), 2, 3, 4, 5, 6 (North), 6 (South). Wards 2, 4, 5, and 6 (North) are the most integrated areas of the jurisdiction. The four (4) wards have populations of Black, Non-Hispanics, Hispanics, and White, Non-Hispanics. The highest population of Black, Non-Hispanics reside in the 2nd ward. The 4th, </w:t>
      </w:r>
      <w:proofErr w:type="gramStart"/>
      <w:r>
        <w:t>5th</w:t>
      </w:r>
      <w:proofErr w:type="gramEnd"/>
      <w:r>
        <w:t xml:space="preserve"> and 6th (North) wards also possess a very small population of Asian/Pacific Islander, Non-Hispanics. </w:t>
      </w:r>
    </w:p>
    <w:p w14:paraId="2E4C1F44" w14:textId="77777777" w:rsidR="006F46BF" w:rsidRDefault="00000000">
      <w:pPr>
        <w:widowControl w:val="0"/>
        <w:spacing w:beforeAutospacing="1" w:afterAutospacing="1"/>
      </w:pPr>
      <w:r>
        <w:t>Results from the City's most recent AFH suggests that individuals/families residing in the 2nd and 4th wards of the jurisdiction are more likely to be exposed to areas of concentrated poverty. The 2nd and 4th wards also possess a greater population of Black, Non-Hispanics and Hispanics. </w:t>
      </w:r>
    </w:p>
    <w:p w14:paraId="39583CC2" w14:textId="77777777" w:rsidR="006F46BF" w:rsidRDefault="00000000">
      <w:pPr>
        <w:widowControl w:val="0"/>
        <w:spacing w:beforeAutospacing="1" w:afterAutospacing="1"/>
      </w:pPr>
      <w:r>
        <w:t>The above data has prompted the City to focus on projects that benefit individuals/persons residing in areas of the jurisdiction that are segregated (</w:t>
      </w:r>
      <w:proofErr w:type="gramStart"/>
      <w:r>
        <w:t>e.g.</w:t>
      </w:r>
      <w:proofErr w:type="gramEnd"/>
      <w:r>
        <w:t xml:space="preserve"> utilizing CDBG funds the City provides support to the YMCA Booker T Washington Community Center, which is located with the 2nd ward of the City) or experience increased levels of poverty.</w:t>
      </w:r>
    </w:p>
    <w:p w14:paraId="091FBC24" w14:textId="77777777" w:rsidR="006F46BF" w:rsidRDefault="00000000">
      <w:pPr>
        <w:widowControl w:val="0"/>
        <w:spacing w:beforeAutospacing="1" w:afterAutospacing="1"/>
      </w:pPr>
      <w:r>
        <w:t xml:space="preserve">NOTE - The One (1) listed under HOME </w:t>
      </w:r>
      <w:proofErr w:type="spellStart"/>
      <w:r>
        <w:t>and"Native</w:t>
      </w:r>
      <w:proofErr w:type="spellEnd"/>
      <w:r>
        <w:t xml:space="preserve"> Hawaiian or Other Pacific Islander" </w:t>
      </w:r>
      <w:proofErr w:type="gramStart"/>
      <w:r>
        <w:t>actually in</w:t>
      </w:r>
      <w:proofErr w:type="gramEnd"/>
      <w:r>
        <w:t xml:space="preserve"> the category of "Other, Multi-Racial". Which was not provided as an option. </w:t>
      </w:r>
    </w:p>
    <w:p w14:paraId="21816681" w14:textId="77777777" w:rsidR="006F46BF" w:rsidRDefault="00000000">
      <w:pPr>
        <w:widowControl w:val="0"/>
        <w:spacing w:beforeAutospacing="1" w:afterAutospacing="1"/>
      </w:pPr>
      <w:r>
        <w:rPr>
          <w:b/>
          <w:i/>
        </w:rPr>
        <w:t>The above chart generated by IDIS does not include an option for Black &amp; White, or Other/Multi-Racial. As a result, and as recorded in IDIS we have attached a more detailed chart highlighting the racial and ethnic groups as recorded. </w:t>
      </w:r>
    </w:p>
    <w:p w14:paraId="7C4629E4" w14:textId="77777777" w:rsidR="006F46BF" w:rsidRDefault="006F46BF">
      <w:pPr>
        <w:widowControl w:val="0"/>
      </w:pPr>
    </w:p>
    <w:p w14:paraId="2AC21786" w14:textId="77777777" w:rsidR="006F46BF" w:rsidRDefault="006F46BF">
      <w:pPr>
        <w:sectPr w:rsidR="006F46BF">
          <w:pgSz w:w="12240" w:h="15840" w:code="1"/>
          <w:pgMar w:top="1440" w:right="1440" w:bottom="1440" w:left="1440" w:header="720" w:footer="720" w:gutter="0"/>
          <w:cols w:space="720"/>
          <w:docGrid w:linePitch="360"/>
        </w:sectPr>
      </w:pPr>
    </w:p>
    <w:bookmarkEnd w:id="0"/>
    <w:p w14:paraId="730D47B8" w14:textId="77777777" w:rsidR="006F46BF" w:rsidRDefault="00000000">
      <w:pPr>
        <w:pStyle w:val="Heading2"/>
        <w:rPr>
          <w:rFonts w:ascii="Calibri" w:hAnsi="Calibri"/>
          <w:i w:val="0"/>
        </w:rPr>
      </w:pPr>
      <w:r>
        <w:rPr>
          <w:rFonts w:ascii="Calibri" w:hAnsi="Calibri"/>
          <w:i w:val="0"/>
        </w:rPr>
        <w:lastRenderedPageBreak/>
        <w:t>CR-15 - Resources and Investments 91.520(a)</w:t>
      </w:r>
    </w:p>
    <w:p w14:paraId="5F854817" w14:textId="77777777" w:rsidR="006F46BF" w:rsidRDefault="00000000">
      <w:pPr>
        <w:keepNext/>
        <w:widowControl w:val="0"/>
        <w:spacing w:after="0" w:line="240" w:lineRule="auto"/>
        <w:rPr>
          <w:b/>
          <w:sz w:val="24"/>
          <w:szCs w:val="24"/>
        </w:rPr>
      </w:pPr>
      <w:r>
        <w:rPr>
          <w:b/>
          <w:sz w:val="24"/>
          <w:szCs w:val="24"/>
        </w:rPr>
        <w:t xml:space="preserve">Identify the resources made </w:t>
      </w:r>
      <w:proofErr w:type="gramStart"/>
      <w:r>
        <w:rPr>
          <w:b/>
          <w:sz w:val="24"/>
          <w:szCs w:val="24"/>
        </w:rPr>
        <w:t>available</w:t>
      </w:r>
      <w:proofErr w:type="gramEnd"/>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4"/>
        <w:gridCol w:w="2331"/>
        <w:gridCol w:w="2343"/>
        <w:gridCol w:w="2342"/>
      </w:tblGrid>
      <w:tr w:rsidR="006F46BF" w14:paraId="6546D122" w14:textId="77777777">
        <w:trPr>
          <w:cantSplit/>
        </w:trPr>
        <w:tc>
          <w:tcPr>
            <w:tcW w:w="2394" w:type="dxa"/>
          </w:tcPr>
          <w:p w14:paraId="172B8A14" w14:textId="77777777" w:rsidR="006F46BF" w:rsidRDefault="00000000">
            <w:pPr>
              <w:keepNext/>
              <w:widowControl w:val="0"/>
              <w:spacing w:after="0" w:line="240" w:lineRule="auto"/>
              <w:jc w:val="center"/>
              <w:rPr>
                <w:rFonts w:cs="Arial"/>
                <w:b/>
              </w:rPr>
            </w:pPr>
            <w:r>
              <w:rPr>
                <w:rFonts w:cs="Arial"/>
                <w:b/>
              </w:rPr>
              <w:t>Source of Funds</w:t>
            </w:r>
          </w:p>
        </w:tc>
        <w:tc>
          <w:tcPr>
            <w:tcW w:w="2394" w:type="dxa"/>
          </w:tcPr>
          <w:p w14:paraId="7C5CCE12" w14:textId="77777777" w:rsidR="006F46BF" w:rsidRDefault="00000000">
            <w:pPr>
              <w:keepNext/>
              <w:widowControl w:val="0"/>
              <w:spacing w:after="0" w:line="240" w:lineRule="auto"/>
              <w:jc w:val="center"/>
              <w:rPr>
                <w:rFonts w:cs="Arial"/>
                <w:b/>
              </w:rPr>
            </w:pPr>
            <w:r>
              <w:rPr>
                <w:rFonts w:cs="Arial"/>
                <w:b/>
              </w:rPr>
              <w:t>Source</w:t>
            </w:r>
          </w:p>
        </w:tc>
        <w:tc>
          <w:tcPr>
            <w:tcW w:w="2394" w:type="dxa"/>
          </w:tcPr>
          <w:p w14:paraId="0F5A7A35" w14:textId="77777777" w:rsidR="006F46BF" w:rsidRDefault="00000000">
            <w:pPr>
              <w:keepNext/>
              <w:spacing w:after="0" w:line="240" w:lineRule="auto"/>
              <w:jc w:val="center"/>
              <w:rPr>
                <w:rFonts w:cs="Arial"/>
                <w:b/>
              </w:rPr>
            </w:pPr>
            <w:r>
              <w:rPr>
                <w:rFonts w:cs="Arial"/>
                <w:b/>
              </w:rPr>
              <w:t>Resources Made Available</w:t>
            </w:r>
          </w:p>
        </w:tc>
        <w:tc>
          <w:tcPr>
            <w:tcW w:w="2394" w:type="dxa"/>
          </w:tcPr>
          <w:p w14:paraId="1D0F0BDD" w14:textId="77777777" w:rsidR="006F46BF" w:rsidRDefault="00000000">
            <w:pPr>
              <w:keepNext/>
              <w:widowControl w:val="0"/>
              <w:spacing w:after="0" w:line="240" w:lineRule="auto"/>
              <w:jc w:val="center"/>
              <w:rPr>
                <w:rFonts w:cs="Arial"/>
                <w:b/>
              </w:rPr>
            </w:pPr>
            <w:r>
              <w:rPr>
                <w:rFonts w:cs="Arial"/>
                <w:b/>
              </w:rPr>
              <w:t>Amount Expended During Program Year</w:t>
            </w:r>
          </w:p>
        </w:tc>
      </w:tr>
      <w:tr w:rsidR="006F46BF" w14:paraId="72C3BC10" w14:textId="77777777">
        <w:trPr>
          <w:cantSplit/>
        </w:trPr>
        <w:tc>
          <w:tcPr>
            <w:tcW w:w="0" w:type="auto"/>
            <w:vAlign w:val="bottom"/>
          </w:tcPr>
          <w:p w14:paraId="68D1F9DD" w14:textId="77777777" w:rsidR="006F46BF" w:rsidRDefault="00000000">
            <w:pPr>
              <w:spacing w:beforeAutospacing="1" w:afterAutospacing="1"/>
            </w:pPr>
            <w:r>
              <w:rPr>
                <w:color w:val="000000"/>
              </w:rPr>
              <w:t>CDBG</w:t>
            </w:r>
          </w:p>
        </w:tc>
        <w:tc>
          <w:tcPr>
            <w:tcW w:w="0" w:type="auto"/>
            <w:vAlign w:val="bottom"/>
          </w:tcPr>
          <w:p w14:paraId="5A6B7E6E" w14:textId="77777777" w:rsidR="006F46BF" w:rsidRDefault="00000000">
            <w:pPr>
              <w:spacing w:beforeAutospacing="1" w:afterAutospacing="1"/>
            </w:pPr>
            <w:r>
              <w:rPr>
                <w:color w:val="000000"/>
              </w:rPr>
              <w:t>public - federal</w:t>
            </w:r>
          </w:p>
        </w:tc>
        <w:tc>
          <w:tcPr>
            <w:tcW w:w="0" w:type="auto"/>
            <w:vAlign w:val="bottom"/>
          </w:tcPr>
          <w:p w14:paraId="68DE386C" w14:textId="77777777" w:rsidR="006F46BF" w:rsidRDefault="00000000">
            <w:pPr>
              <w:spacing w:beforeAutospacing="1" w:afterAutospacing="1"/>
              <w:jc w:val="right"/>
            </w:pPr>
            <w:r>
              <w:rPr>
                <w:color w:val="000000"/>
              </w:rPr>
              <w:t>1,810,263</w:t>
            </w:r>
          </w:p>
        </w:tc>
        <w:tc>
          <w:tcPr>
            <w:tcW w:w="0" w:type="auto"/>
            <w:vAlign w:val="bottom"/>
          </w:tcPr>
          <w:p w14:paraId="302767BE" w14:textId="77777777" w:rsidR="006F46BF" w:rsidRDefault="00000000">
            <w:pPr>
              <w:spacing w:beforeAutospacing="1" w:afterAutospacing="1"/>
              <w:jc w:val="right"/>
            </w:pPr>
            <w:r>
              <w:rPr>
                <w:color w:val="000000"/>
              </w:rPr>
              <w:t>1,372,317</w:t>
            </w:r>
          </w:p>
        </w:tc>
      </w:tr>
      <w:tr w:rsidR="006F46BF" w14:paraId="42396141" w14:textId="77777777">
        <w:trPr>
          <w:cantSplit/>
        </w:trPr>
        <w:tc>
          <w:tcPr>
            <w:tcW w:w="0" w:type="auto"/>
            <w:vAlign w:val="bottom"/>
          </w:tcPr>
          <w:p w14:paraId="5A129C0F" w14:textId="77777777" w:rsidR="006F46BF" w:rsidRDefault="00000000">
            <w:pPr>
              <w:spacing w:beforeAutospacing="1" w:afterAutospacing="1"/>
            </w:pPr>
            <w:r>
              <w:rPr>
                <w:color w:val="000000"/>
              </w:rPr>
              <w:t>HOME</w:t>
            </w:r>
          </w:p>
        </w:tc>
        <w:tc>
          <w:tcPr>
            <w:tcW w:w="0" w:type="auto"/>
            <w:vAlign w:val="bottom"/>
          </w:tcPr>
          <w:p w14:paraId="16F9DB2C" w14:textId="77777777" w:rsidR="006F46BF" w:rsidRDefault="00000000">
            <w:pPr>
              <w:spacing w:beforeAutospacing="1" w:afterAutospacing="1"/>
            </w:pPr>
            <w:r>
              <w:rPr>
                <w:color w:val="000000"/>
              </w:rPr>
              <w:t>public - federal</w:t>
            </w:r>
          </w:p>
        </w:tc>
        <w:tc>
          <w:tcPr>
            <w:tcW w:w="0" w:type="auto"/>
            <w:vAlign w:val="bottom"/>
          </w:tcPr>
          <w:p w14:paraId="0A59D3CC" w14:textId="77777777" w:rsidR="006F46BF" w:rsidRDefault="00000000">
            <w:pPr>
              <w:spacing w:beforeAutospacing="1" w:afterAutospacing="1"/>
              <w:jc w:val="right"/>
            </w:pPr>
            <w:r>
              <w:rPr>
                <w:color w:val="000000"/>
              </w:rPr>
              <w:t>416,573</w:t>
            </w:r>
          </w:p>
        </w:tc>
        <w:tc>
          <w:tcPr>
            <w:tcW w:w="0" w:type="auto"/>
            <w:vAlign w:val="bottom"/>
          </w:tcPr>
          <w:p w14:paraId="331EDE0D" w14:textId="77777777" w:rsidR="006F46BF" w:rsidRDefault="00000000">
            <w:pPr>
              <w:spacing w:beforeAutospacing="1" w:afterAutospacing="1"/>
              <w:jc w:val="right"/>
            </w:pPr>
            <w:r>
              <w:rPr>
                <w:color w:val="000000"/>
              </w:rPr>
              <w:t>763,019</w:t>
            </w:r>
          </w:p>
        </w:tc>
      </w:tr>
      <w:tr w:rsidR="006F46BF" w14:paraId="764664ED" w14:textId="77777777">
        <w:trPr>
          <w:cantSplit/>
        </w:trPr>
        <w:tc>
          <w:tcPr>
            <w:tcW w:w="0" w:type="auto"/>
            <w:vAlign w:val="bottom"/>
          </w:tcPr>
          <w:p w14:paraId="2E54CDDC" w14:textId="77777777" w:rsidR="006F46BF" w:rsidRDefault="00000000">
            <w:pPr>
              <w:spacing w:beforeAutospacing="1" w:afterAutospacing="1"/>
            </w:pPr>
            <w:r>
              <w:rPr>
                <w:color w:val="000000"/>
              </w:rPr>
              <w:t>General Fund</w:t>
            </w:r>
          </w:p>
        </w:tc>
        <w:tc>
          <w:tcPr>
            <w:tcW w:w="0" w:type="auto"/>
            <w:vAlign w:val="bottom"/>
          </w:tcPr>
          <w:p w14:paraId="066A4332" w14:textId="77777777" w:rsidR="006F46BF" w:rsidRDefault="00000000">
            <w:pPr>
              <w:spacing w:beforeAutospacing="1" w:afterAutospacing="1"/>
            </w:pPr>
            <w:r>
              <w:rPr>
                <w:color w:val="000000"/>
              </w:rPr>
              <w:t>public - local</w:t>
            </w:r>
          </w:p>
        </w:tc>
        <w:tc>
          <w:tcPr>
            <w:tcW w:w="0" w:type="auto"/>
            <w:vAlign w:val="bottom"/>
          </w:tcPr>
          <w:p w14:paraId="35A09993" w14:textId="77777777" w:rsidR="006F46BF" w:rsidRDefault="00000000">
            <w:pPr>
              <w:spacing w:beforeAutospacing="1" w:afterAutospacing="1"/>
              <w:jc w:val="right"/>
            </w:pPr>
            <w:r>
              <w:rPr>
                <w:color w:val="000000"/>
              </w:rPr>
              <w:t xml:space="preserve"> </w:t>
            </w:r>
          </w:p>
        </w:tc>
        <w:tc>
          <w:tcPr>
            <w:tcW w:w="0" w:type="auto"/>
            <w:vAlign w:val="bottom"/>
          </w:tcPr>
          <w:p w14:paraId="6D307005" w14:textId="77777777" w:rsidR="006F46BF" w:rsidRDefault="00000000">
            <w:pPr>
              <w:spacing w:beforeAutospacing="1" w:afterAutospacing="1"/>
              <w:jc w:val="right"/>
            </w:pPr>
            <w:r>
              <w:rPr>
                <w:color w:val="000000"/>
              </w:rPr>
              <w:t xml:space="preserve"> </w:t>
            </w:r>
          </w:p>
        </w:tc>
      </w:tr>
    </w:tbl>
    <w:p w14:paraId="059AD4B5" w14:textId="77777777" w:rsidR="006F46BF" w:rsidRDefault="00000000">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3</w:t>
      </w:r>
      <w:r>
        <w:rPr>
          <w:rFonts w:asciiTheme="minorHAnsi" w:hAnsiTheme="minorHAnsi"/>
        </w:rPr>
        <w:fldChar w:fldCharType="end"/>
      </w:r>
      <w:r>
        <w:rPr>
          <w:rFonts w:asciiTheme="minorHAnsi" w:hAnsiTheme="minorHAnsi"/>
        </w:rPr>
        <w:t xml:space="preserve"> - Resources Made Available</w:t>
      </w:r>
    </w:p>
    <w:p w14:paraId="1FDED9EE" w14:textId="77777777" w:rsidR="006F46BF" w:rsidRDefault="006F46BF">
      <w:pPr>
        <w:spacing w:after="0" w:line="240" w:lineRule="auto"/>
        <w:rPr>
          <w:b/>
          <w:sz w:val="24"/>
          <w:szCs w:val="24"/>
        </w:rPr>
      </w:pPr>
    </w:p>
    <w:p w14:paraId="435B3F73" w14:textId="77777777" w:rsidR="006F46BF" w:rsidRDefault="00000000">
      <w:pPr>
        <w:spacing w:after="0" w:line="240" w:lineRule="auto"/>
        <w:rPr>
          <w:b/>
          <w:sz w:val="24"/>
          <w:szCs w:val="24"/>
        </w:rPr>
      </w:pPr>
      <w:r>
        <w:rPr>
          <w:b/>
          <w:sz w:val="24"/>
          <w:szCs w:val="24"/>
        </w:rPr>
        <w:t>Narrative</w:t>
      </w:r>
    </w:p>
    <w:p w14:paraId="1E9DFD44" w14:textId="77777777" w:rsidR="006F46BF" w:rsidRDefault="00000000">
      <w:pPr>
        <w:spacing w:beforeAutospacing="1" w:afterAutospacing="1"/>
        <w:rPr>
          <w:rFonts w:cs="Arial"/>
        </w:rPr>
      </w:pPr>
      <w:r>
        <w:rPr>
          <w:rFonts w:cs="Arial"/>
        </w:rPr>
        <w:t>During FY 2022-2023 the City of Hamilton utilized CDBG-HOME, and CDBG-CV funds. </w:t>
      </w:r>
    </w:p>
    <w:p w14:paraId="2E09CF0E" w14:textId="77777777" w:rsidR="006F46BF" w:rsidRDefault="00000000">
      <w:pPr>
        <w:spacing w:beforeAutospacing="1" w:afterAutospacing="1"/>
        <w:rPr>
          <w:rFonts w:cs="Arial"/>
        </w:rPr>
      </w:pPr>
      <w:r>
        <w:rPr>
          <w:rFonts w:cs="Arial"/>
        </w:rPr>
        <w:t xml:space="preserve">The CDBG "Amount Expended During Program Year 2022" includes amounts received from the Revolving Loan Funds. The RLF amount for FY 2022 is </w:t>
      </w:r>
      <w:r>
        <w:rPr>
          <w:rFonts w:cs="Arial"/>
          <w:b/>
        </w:rPr>
        <w:t>$31,578.89</w:t>
      </w:r>
      <w:r>
        <w:rPr>
          <w:rFonts w:cs="Arial"/>
        </w:rPr>
        <w:t>.</w:t>
      </w:r>
    </w:p>
    <w:p w14:paraId="49590C26" w14:textId="77777777" w:rsidR="006F46BF" w:rsidRDefault="00000000">
      <w:pPr>
        <w:spacing w:beforeAutospacing="1" w:afterAutospacing="1"/>
        <w:rPr>
          <w:rFonts w:cs="Arial"/>
        </w:rPr>
      </w:pPr>
      <w:r>
        <w:rPr>
          <w:rFonts w:cs="Arial"/>
        </w:rPr>
        <w:t xml:space="preserve">The HOME "Amount Expended During Program Year 2022"includes amounts received from the Program Income. The PI amount for FY 2022 is </w:t>
      </w:r>
      <w:r>
        <w:rPr>
          <w:rFonts w:cs="Arial"/>
          <w:b/>
        </w:rPr>
        <w:t>$4,773.24.</w:t>
      </w:r>
    </w:p>
    <w:p w14:paraId="7833F341" w14:textId="77777777" w:rsidR="006F46BF" w:rsidRDefault="00000000">
      <w:pPr>
        <w:spacing w:beforeAutospacing="1" w:afterAutospacing="1"/>
        <w:rPr>
          <w:rFonts w:cs="Arial"/>
        </w:rPr>
      </w:pPr>
      <w:r>
        <w:rPr>
          <w:rFonts w:cs="Arial"/>
          <w:b/>
        </w:rPr>
        <w:t>NOTE - </w:t>
      </w:r>
      <w:r>
        <w:rPr>
          <w:rFonts w:cs="Arial"/>
        </w:rPr>
        <w:t xml:space="preserve">The city found it necessary to </w:t>
      </w:r>
      <w:proofErr w:type="gramStart"/>
      <w:r>
        <w:rPr>
          <w:rFonts w:cs="Arial"/>
        </w:rPr>
        <w:t>make adjustments to</w:t>
      </w:r>
      <w:proofErr w:type="gramEnd"/>
      <w:r>
        <w:rPr>
          <w:rFonts w:cs="Arial"/>
        </w:rPr>
        <w:t xml:space="preserve"> the PR-26 CDBG Financial Summary Report. More specifically, lines 01, 07, and 20. Line 01- Unexpended CDBG Funds... was adjusted to </w:t>
      </w:r>
      <w:r>
        <w:rPr>
          <w:rFonts w:cs="Arial"/>
          <w:b/>
        </w:rPr>
        <w:t>$2,052,429.72</w:t>
      </w:r>
      <w:r>
        <w:rPr>
          <w:rFonts w:cs="Arial"/>
        </w:rPr>
        <w:t>. Which ultimately caused the adjustment on line 07 to become ($31,578.89). </w:t>
      </w:r>
    </w:p>
    <w:p w14:paraId="7C080290" w14:textId="77777777" w:rsidR="006F46BF" w:rsidRDefault="006F46BF">
      <w:pPr>
        <w:spacing w:after="0" w:line="240" w:lineRule="auto"/>
        <w:rPr>
          <w:b/>
          <w:sz w:val="24"/>
          <w:szCs w:val="24"/>
        </w:rPr>
      </w:pPr>
    </w:p>
    <w:p w14:paraId="5A575B8D" w14:textId="77777777" w:rsidR="006F46BF" w:rsidRDefault="00000000">
      <w:pPr>
        <w:keepNext/>
        <w:spacing w:after="0" w:line="240" w:lineRule="auto"/>
        <w:rPr>
          <w:b/>
          <w:sz w:val="24"/>
          <w:szCs w:val="24"/>
        </w:rPr>
      </w:pPr>
      <w:r>
        <w:rPr>
          <w:b/>
          <w:sz w:val="24"/>
          <w:szCs w:val="24"/>
        </w:rPr>
        <w:t xml:space="preserve">Identify the geographic distribution and location of </w:t>
      </w:r>
      <w:proofErr w:type="gramStart"/>
      <w:r>
        <w:rPr>
          <w:b/>
          <w:sz w:val="24"/>
          <w:szCs w:val="24"/>
        </w:rPr>
        <w:t>investments</w:t>
      </w:r>
      <w:proofErr w:type="gramEnd"/>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54"/>
        <w:gridCol w:w="1963"/>
        <w:gridCol w:w="1963"/>
        <w:gridCol w:w="1970"/>
      </w:tblGrid>
      <w:tr w:rsidR="006F46BF" w14:paraId="3BB2E64C" w14:textId="77777777">
        <w:trPr>
          <w:cantSplit/>
        </w:trPr>
        <w:tc>
          <w:tcPr>
            <w:tcW w:w="2394" w:type="dxa"/>
          </w:tcPr>
          <w:p w14:paraId="64601932" w14:textId="77777777" w:rsidR="006F46BF" w:rsidRDefault="00000000">
            <w:pPr>
              <w:keepNext/>
              <w:widowControl w:val="0"/>
              <w:spacing w:after="0" w:line="240" w:lineRule="auto"/>
              <w:jc w:val="center"/>
              <w:rPr>
                <w:rFonts w:cs="Arial"/>
                <w:b/>
              </w:rPr>
            </w:pPr>
            <w:r>
              <w:rPr>
                <w:rFonts w:cs="Arial"/>
                <w:b/>
              </w:rPr>
              <w:t>Target Area</w:t>
            </w:r>
          </w:p>
        </w:tc>
        <w:tc>
          <w:tcPr>
            <w:tcW w:w="2394" w:type="dxa"/>
          </w:tcPr>
          <w:p w14:paraId="55B37F5C" w14:textId="77777777" w:rsidR="006F46BF" w:rsidRDefault="00000000">
            <w:pPr>
              <w:keepNext/>
              <w:widowControl w:val="0"/>
              <w:spacing w:after="0" w:line="240" w:lineRule="auto"/>
              <w:jc w:val="center"/>
              <w:rPr>
                <w:rFonts w:cs="Arial"/>
                <w:b/>
              </w:rPr>
            </w:pPr>
            <w:r>
              <w:rPr>
                <w:rFonts w:cs="Arial"/>
                <w:b/>
              </w:rPr>
              <w:t>Planned Percentage of Allocation</w:t>
            </w:r>
          </w:p>
        </w:tc>
        <w:tc>
          <w:tcPr>
            <w:tcW w:w="2394" w:type="dxa"/>
          </w:tcPr>
          <w:p w14:paraId="6229D159" w14:textId="77777777" w:rsidR="006F46BF" w:rsidRDefault="00000000">
            <w:pPr>
              <w:keepNext/>
              <w:spacing w:after="0" w:line="240" w:lineRule="auto"/>
              <w:jc w:val="center"/>
              <w:rPr>
                <w:rFonts w:cs="Arial"/>
                <w:b/>
              </w:rPr>
            </w:pPr>
            <w:r>
              <w:rPr>
                <w:rFonts w:cs="Arial"/>
                <w:b/>
              </w:rPr>
              <w:t>Actual Percentage of Allocation</w:t>
            </w:r>
          </w:p>
        </w:tc>
        <w:tc>
          <w:tcPr>
            <w:tcW w:w="2394" w:type="dxa"/>
          </w:tcPr>
          <w:p w14:paraId="795136DE" w14:textId="77777777" w:rsidR="006F46BF" w:rsidRDefault="00000000">
            <w:pPr>
              <w:keepNext/>
              <w:widowControl w:val="0"/>
              <w:spacing w:after="0" w:line="240" w:lineRule="auto"/>
              <w:jc w:val="center"/>
              <w:rPr>
                <w:rFonts w:cs="Arial"/>
                <w:b/>
              </w:rPr>
            </w:pPr>
            <w:r>
              <w:rPr>
                <w:rFonts w:cs="Arial"/>
                <w:b/>
              </w:rPr>
              <w:t>Narrative Description</w:t>
            </w:r>
          </w:p>
        </w:tc>
      </w:tr>
      <w:tr w:rsidR="006F46BF" w14:paraId="13BCEE0B" w14:textId="77777777">
        <w:trPr>
          <w:cantSplit/>
        </w:trPr>
        <w:tc>
          <w:tcPr>
            <w:tcW w:w="0" w:type="auto"/>
            <w:vAlign w:val="bottom"/>
          </w:tcPr>
          <w:p w14:paraId="5939D0FE" w14:textId="77777777" w:rsidR="006F46BF" w:rsidRDefault="00000000">
            <w:pPr>
              <w:spacing w:beforeAutospacing="1" w:afterAutospacing="1"/>
            </w:pPr>
            <w:r>
              <w:rPr>
                <w:color w:val="000000"/>
              </w:rPr>
              <w:t>All HUD eligible areas within the City of Hamilton</w:t>
            </w:r>
          </w:p>
        </w:tc>
        <w:tc>
          <w:tcPr>
            <w:tcW w:w="0" w:type="auto"/>
            <w:vAlign w:val="bottom"/>
          </w:tcPr>
          <w:p w14:paraId="1A1382E2" w14:textId="77777777" w:rsidR="006F46BF" w:rsidRDefault="00000000">
            <w:pPr>
              <w:spacing w:beforeAutospacing="1" w:afterAutospacing="1"/>
            </w:pPr>
            <w:r>
              <w:rPr>
                <w:color w:val="000000"/>
              </w:rPr>
              <w:t xml:space="preserve"> </w:t>
            </w:r>
          </w:p>
        </w:tc>
        <w:tc>
          <w:tcPr>
            <w:tcW w:w="0" w:type="auto"/>
            <w:vAlign w:val="bottom"/>
          </w:tcPr>
          <w:p w14:paraId="7990CD13" w14:textId="77777777" w:rsidR="006F46BF" w:rsidRDefault="00000000">
            <w:pPr>
              <w:spacing w:beforeAutospacing="1" w:afterAutospacing="1"/>
            </w:pPr>
            <w:r>
              <w:rPr>
                <w:color w:val="000000"/>
              </w:rPr>
              <w:t>100</w:t>
            </w:r>
          </w:p>
        </w:tc>
        <w:tc>
          <w:tcPr>
            <w:tcW w:w="0" w:type="auto"/>
            <w:vAlign w:val="bottom"/>
          </w:tcPr>
          <w:p w14:paraId="43183BDA" w14:textId="77777777" w:rsidR="006F46BF" w:rsidRDefault="00000000">
            <w:pPr>
              <w:spacing w:beforeAutospacing="1" w:afterAutospacing="1"/>
            </w:pPr>
            <w:r>
              <w:rPr>
                <w:color w:val="000000"/>
              </w:rPr>
              <w:t xml:space="preserve"> </w:t>
            </w:r>
          </w:p>
        </w:tc>
      </w:tr>
      <w:tr w:rsidR="006F46BF" w14:paraId="6DA994D2" w14:textId="77777777">
        <w:trPr>
          <w:cantSplit/>
        </w:trPr>
        <w:tc>
          <w:tcPr>
            <w:tcW w:w="0" w:type="auto"/>
            <w:vAlign w:val="bottom"/>
          </w:tcPr>
          <w:p w14:paraId="5204D949" w14:textId="77777777" w:rsidR="006F46BF" w:rsidRDefault="00000000">
            <w:pPr>
              <w:spacing w:beforeAutospacing="1" w:afterAutospacing="1"/>
            </w:pPr>
            <w:r>
              <w:rPr>
                <w:color w:val="000000"/>
              </w:rPr>
              <w:t>Low/Moderate Income Areas</w:t>
            </w:r>
          </w:p>
        </w:tc>
        <w:tc>
          <w:tcPr>
            <w:tcW w:w="0" w:type="auto"/>
            <w:vAlign w:val="bottom"/>
          </w:tcPr>
          <w:p w14:paraId="1F10B5B1" w14:textId="77777777" w:rsidR="006F46BF" w:rsidRDefault="00000000">
            <w:pPr>
              <w:spacing w:beforeAutospacing="1" w:afterAutospacing="1"/>
            </w:pPr>
            <w:r>
              <w:rPr>
                <w:color w:val="000000"/>
              </w:rPr>
              <w:t>100</w:t>
            </w:r>
          </w:p>
        </w:tc>
        <w:tc>
          <w:tcPr>
            <w:tcW w:w="0" w:type="auto"/>
            <w:vAlign w:val="bottom"/>
          </w:tcPr>
          <w:p w14:paraId="5F16F78E" w14:textId="77777777" w:rsidR="006F46BF" w:rsidRDefault="00000000">
            <w:pPr>
              <w:spacing w:beforeAutospacing="1" w:afterAutospacing="1"/>
            </w:pPr>
            <w:r>
              <w:rPr>
                <w:color w:val="000000"/>
              </w:rPr>
              <w:t>100</w:t>
            </w:r>
          </w:p>
        </w:tc>
        <w:tc>
          <w:tcPr>
            <w:tcW w:w="0" w:type="auto"/>
            <w:vAlign w:val="bottom"/>
          </w:tcPr>
          <w:p w14:paraId="0F23DB87" w14:textId="77777777" w:rsidR="006F46BF" w:rsidRDefault="00000000">
            <w:pPr>
              <w:spacing w:beforeAutospacing="1" w:afterAutospacing="1"/>
            </w:pPr>
            <w:r>
              <w:rPr>
                <w:color w:val="000000"/>
              </w:rPr>
              <w:t xml:space="preserve"> </w:t>
            </w:r>
          </w:p>
        </w:tc>
      </w:tr>
    </w:tbl>
    <w:p w14:paraId="1DBF20C5" w14:textId="77777777" w:rsidR="006F46BF" w:rsidRDefault="00000000">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4</w:t>
      </w:r>
      <w:r>
        <w:rPr>
          <w:rFonts w:asciiTheme="minorHAnsi" w:hAnsiTheme="minorHAnsi"/>
        </w:rPr>
        <w:fldChar w:fldCharType="end"/>
      </w:r>
      <w:r>
        <w:rPr>
          <w:rFonts w:asciiTheme="minorHAnsi" w:hAnsiTheme="minorHAnsi"/>
        </w:rPr>
        <w:t xml:space="preserve"> – Identify the geographic distribution and location of </w:t>
      </w:r>
      <w:proofErr w:type="gramStart"/>
      <w:r>
        <w:rPr>
          <w:rFonts w:asciiTheme="minorHAnsi" w:hAnsiTheme="minorHAnsi"/>
        </w:rPr>
        <w:t>investments</w:t>
      </w:r>
      <w:proofErr w:type="gramEnd"/>
    </w:p>
    <w:p w14:paraId="4858EF5F" w14:textId="77777777" w:rsidR="006F46BF" w:rsidRDefault="006F46BF">
      <w:pPr>
        <w:keepNext/>
        <w:widowControl w:val="0"/>
        <w:spacing w:line="204" w:lineRule="auto"/>
        <w:rPr>
          <w:b/>
          <w:sz w:val="24"/>
          <w:szCs w:val="24"/>
        </w:rPr>
      </w:pPr>
    </w:p>
    <w:p w14:paraId="16E3E622" w14:textId="77777777" w:rsidR="006F46BF" w:rsidRDefault="00000000">
      <w:pPr>
        <w:widowControl w:val="0"/>
        <w:spacing w:line="204" w:lineRule="auto"/>
        <w:rPr>
          <w:b/>
          <w:sz w:val="24"/>
          <w:szCs w:val="24"/>
        </w:rPr>
      </w:pPr>
      <w:r>
        <w:rPr>
          <w:b/>
          <w:sz w:val="24"/>
          <w:szCs w:val="24"/>
        </w:rPr>
        <w:t>Narrative</w:t>
      </w:r>
    </w:p>
    <w:p w14:paraId="400058EE" w14:textId="77777777" w:rsidR="006F46BF" w:rsidRDefault="00000000">
      <w:pPr>
        <w:widowControl w:val="0"/>
        <w:spacing w:beforeAutospacing="1" w:afterAutospacing="1"/>
        <w:rPr>
          <w:rFonts w:cs="Arial"/>
        </w:rPr>
      </w:pPr>
      <w:r>
        <w:rPr>
          <w:rFonts w:cs="Arial"/>
        </w:rPr>
        <w:t>As an entitlement the City of Hamilton received $1,350,621 in Community Development Block Grant (CDBG) and $386,885 in HOME Investment Partnership (HOME) Program funds in fiscal year 2022-2023. </w:t>
      </w:r>
    </w:p>
    <w:p w14:paraId="68606D3D" w14:textId="77777777" w:rsidR="006F46BF" w:rsidRDefault="00000000">
      <w:pPr>
        <w:widowControl w:val="0"/>
        <w:spacing w:beforeAutospacing="1" w:afterAutospacing="1"/>
        <w:rPr>
          <w:rFonts w:cs="Arial"/>
        </w:rPr>
      </w:pPr>
      <w:r>
        <w:rPr>
          <w:rFonts w:cs="Arial"/>
        </w:rPr>
        <w:t>The City of Hamilton through the Consolidated Planning process as well as the creation of the Annual Action Plan has continued to be responsive to the needs of very low-, low-, and moderate-income residents. The City has concentrated its Community Development efforts in four (4) areas: Housing, Public Facility Improvements, Public Services, and Economic Development.</w:t>
      </w:r>
    </w:p>
    <w:p w14:paraId="564BA1A3" w14:textId="77777777" w:rsidR="006F46BF" w:rsidRDefault="00000000">
      <w:pPr>
        <w:widowControl w:val="0"/>
        <w:spacing w:beforeAutospacing="1" w:afterAutospacing="1"/>
        <w:rPr>
          <w:rFonts w:cs="Arial"/>
        </w:rPr>
      </w:pPr>
      <w:r>
        <w:rPr>
          <w:rFonts w:cs="Arial"/>
        </w:rPr>
        <w:lastRenderedPageBreak/>
        <w:t xml:space="preserve">·       </w:t>
      </w:r>
      <w:r>
        <w:rPr>
          <w:rFonts w:cs="Arial"/>
          <w:b/>
          <w:i/>
        </w:rPr>
        <w:t>Housing</w:t>
      </w:r>
      <w:r>
        <w:rPr>
          <w:rFonts w:cs="Arial"/>
        </w:rPr>
        <w:t xml:space="preserve"> - The development and maintenance of the City's affordable housing stock is imperative to community development and quality of life. The </w:t>
      </w:r>
      <w:proofErr w:type="gramStart"/>
      <w:r>
        <w:rPr>
          <w:rFonts w:cs="Arial"/>
        </w:rPr>
        <w:t>City</w:t>
      </w:r>
      <w:proofErr w:type="gramEnd"/>
      <w:r>
        <w:rPr>
          <w:rFonts w:cs="Arial"/>
        </w:rPr>
        <w:t xml:space="preserve"> will continue with emergency /minor home repair, housing rehabilitation, and other housing stabilization and production programs. The </w:t>
      </w:r>
      <w:proofErr w:type="gramStart"/>
      <w:r>
        <w:rPr>
          <w:rFonts w:cs="Arial"/>
        </w:rPr>
        <w:t>City</w:t>
      </w:r>
      <w:proofErr w:type="gramEnd"/>
      <w:r>
        <w:rPr>
          <w:rFonts w:cs="Arial"/>
        </w:rPr>
        <w:t xml:space="preserve"> will work with partner agencies to develop affordable housing including units targeting very-low, low and moderate income residents. </w:t>
      </w:r>
    </w:p>
    <w:p w14:paraId="2E84DA4F" w14:textId="77777777" w:rsidR="006F46BF" w:rsidRDefault="00000000">
      <w:pPr>
        <w:widowControl w:val="0"/>
        <w:spacing w:beforeAutospacing="1" w:afterAutospacing="1"/>
        <w:rPr>
          <w:rFonts w:cs="Arial"/>
        </w:rPr>
      </w:pPr>
      <w:r>
        <w:rPr>
          <w:rFonts w:cs="Arial"/>
        </w:rPr>
        <w:t xml:space="preserve">·       </w:t>
      </w:r>
      <w:r>
        <w:rPr>
          <w:rFonts w:cs="Arial"/>
          <w:b/>
          <w:i/>
        </w:rPr>
        <w:t>Public Facilities and Improvements</w:t>
      </w:r>
      <w:r>
        <w:rPr>
          <w:rFonts w:cs="Arial"/>
          <w:i/>
        </w:rPr>
        <w:t> </w:t>
      </w:r>
      <w:r>
        <w:rPr>
          <w:rFonts w:cs="Arial"/>
        </w:rPr>
        <w:t xml:space="preserve">- Improvements to public facilities and infrastructures located in the </w:t>
      </w:r>
      <w:proofErr w:type="gramStart"/>
      <w:r>
        <w:rPr>
          <w:rFonts w:cs="Arial"/>
        </w:rPr>
        <w:t>City</w:t>
      </w:r>
      <w:proofErr w:type="gramEnd"/>
      <w:r>
        <w:rPr>
          <w:rFonts w:cs="Arial"/>
        </w:rPr>
        <w:t xml:space="preserve"> serving very-low and low -moderate income residents is critical to community development and quality of life efforts. The </w:t>
      </w:r>
      <w:proofErr w:type="gramStart"/>
      <w:r>
        <w:rPr>
          <w:rFonts w:cs="Arial"/>
        </w:rPr>
        <w:t>City</w:t>
      </w:r>
      <w:proofErr w:type="gramEnd"/>
      <w:r>
        <w:rPr>
          <w:rFonts w:cs="Arial"/>
        </w:rPr>
        <w:t xml:space="preserve"> will make public improvements that enhance and compliment neighborhood and community economic development activities. </w:t>
      </w:r>
    </w:p>
    <w:p w14:paraId="39B7D859" w14:textId="77777777" w:rsidR="006F46BF" w:rsidRDefault="00000000">
      <w:pPr>
        <w:widowControl w:val="0"/>
        <w:spacing w:beforeAutospacing="1" w:afterAutospacing="1"/>
        <w:rPr>
          <w:rFonts w:cs="Arial"/>
        </w:rPr>
      </w:pPr>
      <w:r>
        <w:rPr>
          <w:rFonts w:cs="Arial"/>
        </w:rPr>
        <w:t xml:space="preserve">·       </w:t>
      </w:r>
      <w:r>
        <w:rPr>
          <w:rFonts w:cs="Arial"/>
          <w:b/>
          <w:i/>
        </w:rPr>
        <w:t>Public</w:t>
      </w:r>
      <w:r>
        <w:rPr>
          <w:rFonts w:cs="Arial"/>
          <w:b/>
        </w:rPr>
        <w:t xml:space="preserve"> Service</w:t>
      </w:r>
      <w:r>
        <w:rPr>
          <w:rFonts w:cs="Arial"/>
        </w:rPr>
        <w:t xml:space="preserve"> - The City of Hamilton focuses its efforts with Public Service </w:t>
      </w:r>
      <w:proofErr w:type="gramStart"/>
      <w:r>
        <w:rPr>
          <w:rFonts w:cs="Arial"/>
        </w:rPr>
        <w:t>in order to</w:t>
      </w:r>
      <w:proofErr w:type="gramEnd"/>
      <w:r>
        <w:rPr>
          <w:rFonts w:cs="Arial"/>
        </w:rPr>
        <w:t xml:space="preserve"> address the unique needs of the LMI resident population. The City will continue </w:t>
      </w:r>
      <w:proofErr w:type="gramStart"/>
      <w:r>
        <w:rPr>
          <w:rFonts w:cs="Arial"/>
        </w:rPr>
        <w:t>to  concentrate</w:t>
      </w:r>
      <w:proofErr w:type="gramEnd"/>
      <w:r>
        <w:rPr>
          <w:rFonts w:cs="Arial"/>
        </w:rPr>
        <w:t xml:space="preserve"> on fair housing, homeless services, affordable public transportation, senior/youth recreation, and crime victim's advocacy.</w:t>
      </w:r>
    </w:p>
    <w:p w14:paraId="5CF3AB64" w14:textId="77777777" w:rsidR="006F46BF" w:rsidRDefault="00000000">
      <w:pPr>
        <w:widowControl w:val="0"/>
        <w:spacing w:beforeAutospacing="1" w:afterAutospacing="1"/>
        <w:rPr>
          <w:rFonts w:cs="Arial"/>
        </w:rPr>
      </w:pPr>
      <w:r>
        <w:rPr>
          <w:rFonts w:cs="Arial"/>
        </w:rPr>
        <w:t xml:space="preserve">·       </w:t>
      </w:r>
      <w:r>
        <w:rPr>
          <w:rFonts w:cs="Arial"/>
          <w:b/>
          <w:i/>
        </w:rPr>
        <w:t>Economic Development</w:t>
      </w:r>
      <w:r>
        <w:rPr>
          <w:rFonts w:cs="Arial"/>
          <w:b/>
        </w:rPr>
        <w:t> </w:t>
      </w:r>
      <w:r>
        <w:rPr>
          <w:rFonts w:cs="Arial"/>
        </w:rPr>
        <w:t xml:space="preserve">- Expanding economic development </w:t>
      </w:r>
      <w:proofErr w:type="gramStart"/>
      <w:r>
        <w:rPr>
          <w:rFonts w:cs="Arial"/>
        </w:rPr>
        <w:t>opportunities  to</w:t>
      </w:r>
      <w:proofErr w:type="gramEnd"/>
      <w:r>
        <w:rPr>
          <w:rFonts w:cs="Arial"/>
        </w:rPr>
        <w:t xml:space="preserve"> encourage investments, retain, and create jobs, revitalize business districts, and increase employment/training opportunities remain a priority for the City. Additionally, the City will continue to provide access to the Revolving Loan Fund (RLF) to key business and start-up investments. </w:t>
      </w:r>
    </w:p>
    <w:p w14:paraId="0B030C19" w14:textId="77777777" w:rsidR="006F46BF" w:rsidRDefault="00000000">
      <w:pPr>
        <w:widowControl w:val="0"/>
        <w:spacing w:beforeAutospacing="1" w:afterAutospacing="1"/>
        <w:rPr>
          <w:rFonts w:cs="Arial"/>
        </w:rPr>
      </w:pPr>
      <w:r>
        <w:rPr>
          <w:rFonts w:cs="Arial"/>
        </w:rPr>
        <w:t>The above objectives will continue to be assessed to ensure consistency with citizen input and survey results and feedback. As indicated in the Citizen Participation section of the Consolidated Plan, the City not only conducts the required public input meetings and makes draft documents available for review and comment but also solicits input from service providers and conducts and annual needs survey of City residents. Note - The HOME Amount Expended During Program Year Program Year 2022 includes funds that remained available from previous program years but spent in FY 2022. </w:t>
      </w:r>
    </w:p>
    <w:p w14:paraId="0EF3DCB9" w14:textId="77777777" w:rsidR="006F46BF" w:rsidRDefault="00000000">
      <w:pPr>
        <w:widowControl w:val="0"/>
        <w:spacing w:beforeAutospacing="1" w:afterAutospacing="1"/>
        <w:rPr>
          <w:rFonts w:cs="Arial"/>
        </w:rPr>
      </w:pPr>
      <w:r>
        <w:rPr>
          <w:rFonts w:cs="Arial"/>
        </w:rPr>
        <w:t xml:space="preserve">The Annual Action Plan encompasses both the CDBG and HOME program funded projects for the 2022-2023 program year for the period of May 1, </w:t>
      </w:r>
      <w:proofErr w:type="gramStart"/>
      <w:r>
        <w:rPr>
          <w:rFonts w:cs="Arial"/>
        </w:rPr>
        <w:t>2022</w:t>
      </w:r>
      <w:proofErr w:type="gramEnd"/>
      <w:r>
        <w:rPr>
          <w:rFonts w:cs="Arial"/>
        </w:rPr>
        <w:t xml:space="preserve"> through April 30, 2023. </w:t>
      </w:r>
    </w:p>
    <w:p w14:paraId="3C675D2E" w14:textId="77777777" w:rsidR="006F46BF" w:rsidRDefault="00000000">
      <w:pPr>
        <w:pageBreakBefore/>
        <w:widowControl w:val="0"/>
        <w:spacing w:line="240" w:lineRule="auto"/>
        <w:rPr>
          <w:b/>
          <w:sz w:val="24"/>
          <w:szCs w:val="24"/>
        </w:rPr>
      </w:pPr>
      <w:r>
        <w:rPr>
          <w:b/>
          <w:sz w:val="24"/>
          <w:szCs w:val="24"/>
        </w:rPr>
        <w:lastRenderedPageBreak/>
        <w:t>Leveraging</w:t>
      </w:r>
    </w:p>
    <w:p w14:paraId="646E7B7C" w14:textId="77777777" w:rsidR="006F46BF" w:rsidRDefault="00000000">
      <w:pPr>
        <w:widowControl w:val="0"/>
        <w:spacing w:line="240" w:lineRule="auto"/>
        <w:rPr>
          <w:b/>
          <w:sz w:val="24"/>
          <w:szCs w:val="24"/>
        </w:rPr>
      </w:pPr>
      <w:r>
        <w:rPr>
          <w:b/>
          <w:sz w:val="24"/>
          <w:szCs w:val="24"/>
        </w:rPr>
        <w:t xml:space="preserve">Explain how federal </w:t>
      </w:r>
      <w:proofErr w:type="gramStart"/>
      <w:r>
        <w:rPr>
          <w:b/>
          <w:sz w:val="24"/>
          <w:szCs w:val="24"/>
        </w:rPr>
        <w:t>funds  leveraged</w:t>
      </w:r>
      <w:proofErr w:type="gramEnd"/>
      <w:r>
        <w:rPr>
          <w:b/>
          <w:sz w:val="24"/>
          <w:szCs w:val="24"/>
        </w:rPr>
        <w:t xml:space="preserve"> additional resources (private, state and local funds), including a description of how matching requirements were satisfied, as well as how any publicly owned land or property located within the jurisdiction that were used to address the needs identified in the plan.</w:t>
      </w:r>
    </w:p>
    <w:p w14:paraId="7D8432B6" w14:textId="77777777" w:rsidR="006F46BF" w:rsidRDefault="00000000">
      <w:pPr>
        <w:widowControl w:val="0"/>
        <w:spacing w:beforeAutospacing="1" w:afterAutospacing="1"/>
        <w:rPr>
          <w:sz w:val="24"/>
          <w:szCs w:val="24"/>
        </w:rPr>
      </w:pPr>
      <w:r>
        <w:rPr>
          <w:sz w:val="24"/>
          <w:szCs w:val="24"/>
        </w:rPr>
        <w:t xml:space="preserve">The City of Hamilton had no Match liability this fiscal year. Nonetheless, the city anticipates donating vacant lots for the creation of additional </w:t>
      </w:r>
      <w:proofErr w:type="spellStart"/>
      <w:r>
        <w:rPr>
          <w:sz w:val="24"/>
          <w:szCs w:val="24"/>
        </w:rPr>
        <w:t>affrodable</w:t>
      </w:r>
      <w:proofErr w:type="spellEnd"/>
      <w:r>
        <w:rPr>
          <w:sz w:val="24"/>
          <w:szCs w:val="24"/>
        </w:rPr>
        <w:t xml:space="preserve"> housing. </w:t>
      </w:r>
    </w:p>
    <w:p w14:paraId="539A7B2F" w14:textId="77777777" w:rsidR="006F46BF" w:rsidRDefault="006F46BF">
      <w:pPr>
        <w:widowControl w:val="0"/>
        <w:spacing w:after="0" w:line="240" w:lineRule="auto"/>
        <w:rPr>
          <w:sz w:val="24"/>
          <w:szCs w:val="24"/>
        </w:rPr>
      </w:pPr>
    </w:p>
    <w:p w14:paraId="687498B5" w14:textId="77777777" w:rsidR="006F46BF" w:rsidRDefault="006F46BF">
      <w:pPr>
        <w:spacing w:after="0" w:line="240" w:lineRule="auto"/>
        <w:rPr>
          <w:b/>
        </w:rPr>
      </w:pPr>
    </w:p>
    <w:p w14:paraId="5C134167" w14:textId="77777777" w:rsidR="006F46BF" w:rsidRDefault="006F46BF">
      <w:pPr>
        <w:widowControl w:val="0"/>
        <w:spacing w:line="204" w:lineRule="auto"/>
        <w:rPr>
          <w:rFonts w:cs="Arial"/>
        </w:rPr>
      </w:pP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3"/>
        <w:gridCol w:w="427"/>
      </w:tblGrid>
      <w:tr w:rsidR="006F46BF" w14:paraId="28F4FC26" w14:textId="77777777">
        <w:trPr>
          <w:cantSplit/>
          <w:tblHeader/>
        </w:trPr>
        <w:tc>
          <w:tcPr>
            <w:tcW w:w="9576" w:type="dxa"/>
            <w:gridSpan w:val="2"/>
          </w:tcPr>
          <w:p w14:paraId="69C0EA9A" w14:textId="77777777" w:rsidR="006F46BF" w:rsidRDefault="00000000">
            <w:pPr>
              <w:keepNext/>
              <w:widowControl w:val="0"/>
              <w:spacing w:after="0" w:line="240" w:lineRule="auto"/>
              <w:jc w:val="center"/>
              <w:rPr>
                <w:rFonts w:cs="Arial"/>
              </w:rPr>
            </w:pPr>
            <w:r>
              <w:rPr>
                <w:b/>
              </w:rPr>
              <w:t>Fiscal Year Summary – HOME Match</w:t>
            </w:r>
          </w:p>
        </w:tc>
      </w:tr>
      <w:tr w:rsidR="006F46BF" w14:paraId="2D25A3FC" w14:textId="77777777">
        <w:trPr>
          <w:cantSplit/>
        </w:trPr>
        <w:tc>
          <w:tcPr>
            <w:tcW w:w="0" w:type="auto"/>
            <w:vAlign w:val="bottom"/>
          </w:tcPr>
          <w:p w14:paraId="597A0E5A" w14:textId="77777777" w:rsidR="006F46BF" w:rsidRDefault="00000000">
            <w:pPr>
              <w:spacing w:beforeAutospacing="1" w:afterAutospacing="1"/>
            </w:pPr>
            <w:r>
              <w:rPr>
                <w:color w:val="000000"/>
              </w:rPr>
              <w:t>1. Excess match from prior Federal fiscal year</w:t>
            </w:r>
          </w:p>
        </w:tc>
        <w:tc>
          <w:tcPr>
            <w:tcW w:w="0" w:type="auto"/>
            <w:vAlign w:val="bottom"/>
          </w:tcPr>
          <w:p w14:paraId="3A8576A6" w14:textId="77777777" w:rsidR="006F46BF" w:rsidRDefault="00000000">
            <w:pPr>
              <w:spacing w:beforeAutospacing="1" w:afterAutospacing="1"/>
              <w:jc w:val="right"/>
            </w:pPr>
            <w:r>
              <w:rPr>
                <w:color w:val="000000"/>
              </w:rPr>
              <w:t>0</w:t>
            </w:r>
          </w:p>
        </w:tc>
      </w:tr>
      <w:tr w:rsidR="006F46BF" w14:paraId="425E9C5C" w14:textId="77777777">
        <w:trPr>
          <w:cantSplit/>
        </w:trPr>
        <w:tc>
          <w:tcPr>
            <w:tcW w:w="0" w:type="auto"/>
            <w:vAlign w:val="bottom"/>
          </w:tcPr>
          <w:p w14:paraId="1810C0AF" w14:textId="77777777" w:rsidR="006F46BF" w:rsidRDefault="00000000">
            <w:pPr>
              <w:spacing w:beforeAutospacing="1" w:afterAutospacing="1"/>
            </w:pPr>
            <w:r>
              <w:rPr>
                <w:color w:val="000000"/>
              </w:rPr>
              <w:t>2. Match contributed during current Federal fiscal year</w:t>
            </w:r>
          </w:p>
        </w:tc>
        <w:tc>
          <w:tcPr>
            <w:tcW w:w="0" w:type="auto"/>
            <w:vAlign w:val="bottom"/>
          </w:tcPr>
          <w:p w14:paraId="55BCADA6" w14:textId="77777777" w:rsidR="006F46BF" w:rsidRDefault="00000000">
            <w:pPr>
              <w:spacing w:beforeAutospacing="1" w:afterAutospacing="1"/>
              <w:jc w:val="right"/>
            </w:pPr>
            <w:r>
              <w:rPr>
                <w:color w:val="000000"/>
              </w:rPr>
              <w:t>0</w:t>
            </w:r>
          </w:p>
        </w:tc>
      </w:tr>
      <w:tr w:rsidR="006F46BF" w14:paraId="1E248C44" w14:textId="77777777">
        <w:trPr>
          <w:cantSplit/>
        </w:trPr>
        <w:tc>
          <w:tcPr>
            <w:tcW w:w="0" w:type="auto"/>
            <w:vAlign w:val="bottom"/>
          </w:tcPr>
          <w:p w14:paraId="42A15435" w14:textId="77777777" w:rsidR="006F46BF" w:rsidRDefault="00000000">
            <w:pPr>
              <w:spacing w:beforeAutospacing="1" w:afterAutospacing="1"/>
            </w:pPr>
            <w:r>
              <w:rPr>
                <w:color w:val="000000"/>
              </w:rPr>
              <w:t>3. Total match available for current Federal fiscal year (Line 1 plus Line 2)</w:t>
            </w:r>
          </w:p>
        </w:tc>
        <w:tc>
          <w:tcPr>
            <w:tcW w:w="0" w:type="auto"/>
            <w:vAlign w:val="bottom"/>
          </w:tcPr>
          <w:p w14:paraId="4228467A" w14:textId="77777777" w:rsidR="006F46BF" w:rsidRDefault="00000000">
            <w:pPr>
              <w:spacing w:beforeAutospacing="1" w:afterAutospacing="1"/>
              <w:jc w:val="right"/>
            </w:pPr>
            <w:r>
              <w:rPr>
                <w:color w:val="000000"/>
              </w:rPr>
              <w:t>0</w:t>
            </w:r>
          </w:p>
        </w:tc>
      </w:tr>
      <w:tr w:rsidR="006F46BF" w14:paraId="0FCEC9EF" w14:textId="77777777">
        <w:trPr>
          <w:cantSplit/>
        </w:trPr>
        <w:tc>
          <w:tcPr>
            <w:tcW w:w="0" w:type="auto"/>
            <w:vAlign w:val="bottom"/>
          </w:tcPr>
          <w:p w14:paraId="7B25CD4A" w14:textId="77777777" w:rsidR="006F46BF" w:rsidRDefault="00000000">
            <w:pPr>
              <w:spacing w:beforeAutospacing="1" w:afterAutospacing="1"/>
            </w:pPr>
            <w:r>
              <w:rPr>
                <w:color w:val="000000"/>
              </w:rPr>
              <w:t>4. Match liability for current Federal fiscal year</w:t>
            </w:r>
          </w:p>
        </w:tc>
        <w:tc>
          <w:tcPr>
            <w:tcW w:w="0" w:type="auto"/>
            <w:vAlign w:val="bottom"/>
          </w:tcPr>
          <w:p w14:paraId="74417FBF" w14:textId="77777777" w:rsidR="006F46BF" w:rsidRDefault="00000000">
            <w:pPr>
              <w:spacing w:beforeAutospacing="1" w:afterAutospacing="1"/>
              <w:jc w:val="right"/>
            </w:pPr>
            <w:r>
              <w:rPr>
                <w:color w:val="000000"/>
              </w:rPr>
              <w:t>0</w:t>
            </w:r>
          </w:p>
        </w:tc>
      </w:tr>
      <w:tr w:rsidR="006F46BF" w14:paraId="552F1E4F" w14:textId="77777777">
        <w:trPr>
          <w:cantSplit/>
        </w:trPr>
        <w:tc>
          <w:tcPr>
            <w:tcW w:w="0" w:type="auto"/>
            <w:vAlign w:val="bottom"/>
          </w:tcPr>
          <w:p w14:paraId="0B259FEF" w14:textId="77777777" w:rsidR="006F46BF" w:rsidRDefault="00000000">
            <w:pPr>
              <w:spacing w:beforeAutospacing="1" w:afterAutospacing="1"/>
            </w:pPr>
            <w:r>
              <w:rPr>
                <w:color w:val="000000"/>
              </w:rPr>
              <w:t>5. Excess match carried over to next Federal fiscal year (Line 3 minus Line 4)</w:t>
            </w:r>
          </w:p>
        </w:tc>
        <w:tc>
          <w:tcPr>
            <w:tcW w:w="0" w:type="auto"/>
            <w:vAlign w:val="bottom"/>
          </w:tcPr>
          <w:p w14:paraId="3D753997" w14:textId="77777777" w:rsidR="006F46BF" w:rsidRDefault="00000000">
            <w:pPr>
              <w:spacing w:beforeAutospacing="1" w:afterAutospacing="1"/>
              <w:jc w:val="right"/>
            </w:pPr>
            <w:r>
              <w:rPr>
                <w:color w:val="000000"/>
              </w:rPr>
              <w:t>0</w:t>
            </w:r>
          </w:p>
        </w:tc>
      </w:tr>
    </w:tbl>
    <w:p w14:paraId="0BAAAF58" w14:textId="77777777" w:rsidR="006F46BF" w:rsidRDefault="00000000">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5</w:t>
      </w:r>
      <w:r>
        <w:rPr>
          <w:rFonts w:asciiTheme="minorHAnsi" w:hAnsiTheme="minorHAnsi"/>
        </w:rPr>
        <w:fldChar w:fldCharType="end"/>
      </w:r>
      <w:r>
        <w:rPr>
          <w:rFonts w:asciiTheme="minorHAnsi" w:hAnsiTheme="minorHAnsi"/>
        </w:rPr>
        <w:t xml:space="preserve"> – Fiscal Year Summary - HOME Match Report</w:t>
      </w:r>
    </w:p>
    <w:p w14:paraId="2E157300" w14:textId="77777777" w:rsidR="006F46BF" w:rsidRDefault="006F46BF">
      <w:pPr>
        <w:widowControl w:val="0"/>
        <w:spacing w:line="204" w:lineRule="auto"/>
        <w:rPr>
          <w:rFonts w:cs="Arial"/>
        </w:rPr>
      </w:pPr>
    </w:p>
    <w:p w14:paraId="07E98B0A" w14:textId="77777777" w:rsidR="006F46BF" w:rsidRDefault="006F46BF">
      <w:pPr>
        <w:widowControl w:val="0"/>
        <w:spacing w:line="204" w:lineRule="auto"/>
        <w:rPr>
          <w:rFonts w:cs="Arial"/>
        </w:rPr>
      </w:pPr>
    </w:p>
    <w:p w14:paraId="2587AF6A" w14:textId="77777777" w:rsidR="006F46BF" w:rsidRDefault="006F46BF">
      <w:pPr>
        <w:keepNext/>
        <w:spacing w:after="0" w:line="240" w:lineRule="auto"/>
        <w:rPr>
          <w:b/>
          <w:sz w:val="24"/>
          <w:szCs w:val="24"/>
        </w:rPr>
        <w:sectPr w:rsidR="006F46BF">
          <w:pgSz w:w="12240" w:h="15840" w:code="1"/>
          <w:pgMar w:top="1440" w:right="1440" w:bottom="1440" w:left="1440" w:header="720" w:footer="720" w:gutter="0"/>
          <w:cols w:space="720"/>
          <w:docGrid w:linePitch="360"/>
        </w:sectPr>
      </w:pP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438"/>
        <w:gridCol w:w="1439"/>
        <w:gridCol w:w="1439"/>
        <w:gridCol w:w="1439"/>
        <w:gridCol w:w="1439"/>
        <w:gridCol w:w="1439"/>
        <w:gridCol w:w="1439"/>
        <w:gridCol w:w="1439"/>
        <w:gridCol w:w="1439"/>
      </w:tblGrid>
      <w:tr w:rsidR="006F46BF" w14:paraId="68DB2CCB" w14:textId="77777777">
        <w:trPr>
          <w:cantSplit/>
          <w:tblHeader/>
        </w:trPr>
        <w:tc>
          <w:tcPr>
            <w:tcW w:w="13176" w:type="dxa"/>
            <w:gridSpan w:val="9"/>
          </w:tcPr>
          <w:p w14:paraId="6161327F" w14:textId="77777777" w:rsidR="006F46BF" w:rsidRDefault="00000000">
            <w:pPr>
              <w:keepNext/>
              <w:widowControl w:val="0"/>
              <w:tabs>
                <w:tab w:val="left" w:pos="405"/>
                <w:tab w:val="center" w:pos="6480"/>
              </w:tabs>
              <w:spacing w:after="0" w:line="240" w:lineRule="auto"/>
              <w:rPr>
                <w:b/>
              </w:rPr>
            </w:pPr>
            <w:r>
              <w:rPr>
                <w:b/>
              </w:rPr>
              <w:lastRenderedPageBreak/>
              <w:tab/>
            </w:r>
            <w:r>
              <w:rPr>
                <w:b/>
              </w:rPr>
              <w:tab/>
              <w:t>Match Contribution for the Federal Fiscal Year</w:t>
            </w:r>
          </w:p>
        </w:tc>
      </w:tr>
      <w:tr w:rsidR="006F46BF" w14:paraId="0CE9E9AA" w14:textId="77777777">
        <w:trPr>
          <w:cantSplit/>
          <w:tblHeader/>
        </w:trPr>
        <w:tc>
          <w:tcPr>
            <w:tcW w:w="1464" w:type="dxa"/>
          </w:tcPr>
          <w:p w14:paraId="3B524ED9" w14:textId="77777777" w:rsidR="006F46BF" w:rsidRDefault="00000000">
            <w:pPr>
              <w:keepNext/>
              <w:widowControl w:val="0"/>
              <w:spacing w:after="0" w:line="240" w:lineRule="auto"/>
              <w:jc w:val="center"/>
              <w:rPr>
                <w:b/>
                <w:sz w:val="20"/>
                <w:szCs w:val="20"/>
              </w:rPr>
            </w:pPr>
            <w:r>
              <w:rPr>
                <w:b/>
                <w:sz w:val="20"/>
                <w:szCs w:val="20"/>
              </w:rPr>
              <w:t>Project No. or Other ID</w:t>
            </w:r>
          </w:p>
        </w:tc>
        <w:tc>
          <w:tcPr>
            <w:tcW w:w="1464" w:type="dxa"/>
          </w:tcPr>
          <w:p w14:paraId="5FA7B246" w14:textId="77777777" w:rsidR="006F46BF" w:rsidRDefault="00000000">
            <w:pPr>
              <w:keepNext/>
              <w:widowControl w:val="0"/>
              <w:spacing w:after="0" w:line="240" w:lineRule="auto"/>
              <w:jc w:val="center"/>
              <w:rPr>
                <w:b/>
                <w:sz w:val="20"/>
                <w:szCs w:val="20"/>
              </w:rPr>
            </w:pPr>
            <w:r>
              <w:rPr>
                <w:b/>
                <w:sz w:val="20"/>
                <w:szCs w:val="20"/>
              </w:rPr>
              <w:t>Date of Contribution</w:t>
            </w:r>
          </w:p>
        </w:tc>
        <w:tc>
          <w:tcPr>
            <w:tcW w:w="1464" w:type="dxa"/>
          </w:tcPr>
          <w:p w14:paraId="3F6F004C" w14:textId="77777777" w:rsidR="006F46BF" w:rsidRDefault="00000000">
            <w:pPr>
              <w:keepNext/>
              <w:widowControl w:val="0"/>
              <w:spacing w:after="0" w:line="240" w:lineRule="auto"/>
              <w:jc w:val="center"/>
              <w:rPr>
                <w:b/>
                <w:sz w:val="20"/>
                <w:szCs w:val="20"/>
              </w:rPr>
            </w:pPr>
            <w:r>
              <w:rPr>
                <w:b/>
                <w:sz w:val="20"/>
                <w:szCs w:val="20"/>
              </w:rPr>
              <w:t>Cash</w:t>
            </w:r>
          </w:p>
          <w:p w14:paraId="206B276C" w14:textId="77777777" w:rsidR="006F46BF" w:rsidRDefault="00000000">
            <w:pPr>
              <w:keepNext/>
              <w:widowControl w:val="0"/>
              <w:spacing w:after="0" w:line="240" w:lineRule="auto"/>
              <w:jc w:val="center"/>
              <w:rPr>
                <w:b/>
                <w:sz w:val="20"/>
                <w:szCs w:val="20"/>
              </w:rPr>
            </w:pPr>
            <w:r>
              <w:rPr>
                <w:b/>
                <w:sz w:val="20"/>
                <w:szCs w:val="20"/>
              </w:rPr>
              <w:t>(non-Federal sources)</w:t>
            </w:r>
          </w:p>
        </w:tc>
        <w:tc>
          <w:tcPr>
            <w:tcW w:w="1464" w:type="dxa"/>
          </w:tcPr>
          <w:p w14:paraId="49D41C79" w14:textId="77777777" w:rsidR="006F46BF" w:rsidRDefault="00000000">
            <w:pPr>
              <w:keepNext/>
              <w:widowControl w:val="0"/>
              <w:spacing w:after="0" w:line="240" w:lineRule="auto"/>
              <w:jc w:val="center"/>
              <w:rPr>
                <w:b/>
                <w:sz w:val="20"/>
                <w:szCs w:val="20"/>
              </w:rPr>
            </w:pPr>
            <w:r>
              <w:rPr>
                <w:b/>
                <w:sz w:val="20"/>
                <w:szCs w:val="20"/>
              </w:rPr>
              <w:t>Foregone Taxes, Fees, Charges</w:t>
            </w:r>
          </w:p>
        </w:tc>
        <w:tc>
          <w:tcPr>
            <w:tcW w:w="1464" w:type="dxa"/>
          </w:tcPr>
          <w:p w14:paraId="6955174F" w14:textId="77777777" w:rsidR="006F46BF" w:rsidRDefault="00000000">
            <w:pPr>
              <w:keepNext/>
              <w:widowControl w:val="0"/>
              <w:spacing w:after="0" w:line="240" w:lineRule="auto"/>
              <w:jc w:val="center"/>
              <w:rPr>
                <w:b/>
                <w:sz w:val="20"/>
                <w:szCs w:val="20"/>
              </w:rPr>
            </w:pPr>
            <w:r>
              <w:rPr>
                <w:b/>
                <w:sz w:val="20"/>
                <w:szCs w:val="20"/>
              </w:rPr>
              <w:t>Appraised Land/Real Property</w:t>
            </w:r>
          </w:p>
        </w:tc>
        <w:tc>
          <w:tcPr>
            <w:tcW w:w="1464" w:type="dxa"/>
          </w:tcPr>
          <w:p w14:paraId="006C2B3D" w14:textId="77777777" w:rsidR="006F46BF" w:rsidRDefault="00000000">
            <w:pPr>
              <w:keepNext/>
              <w:widowControl w:val="0"/>
              <w:spacing w:after="0" w:line="240" w:lineRule="auto"/>
              <w:jc w:val="center"/>
              <w:rPr>
                <w:b/>
                <w:sz w:val="20"/>
                <w:szCs w:val="20"/>
              </w:rPr>
            </w:pPr>
            <w:r>
              <w:rPr>
                <w:b/>
                <w:sz w:val="20"/>
                <w:szCs w:val="20"/>
              </w:rPr>
              <w:t>Required Infrastructure</w:t>
            </w:r>
          </w:p>
        </w:tc>
        <w:tc>
          <w:tcPr>
            <w:tcW w:w="1464" w:type="dxa"/>
          </w:tcPr>
          <w:p w14:paraId="50C36819" w14:textId="77777777" w:rsidR="006F46BF" w:rsidRDefault="00000000">
            <w:pPr>
              <w:keepNext/>
              <w:widowControl w:val="0"/>
              <w:spacing w:after="0" w:line="240" w:lineRule="auto"/>
              <w:jc w:val="center"/>
              <w:rPr>
                <w:b/>
                <w:sz w:val="20"/>
                <w:szCs w:val="20"/>
              </w:rPr>
            </w:pPr>
            <w:r>
              <w:rPr>
                <w:b/>
                <w:sz w:val="20"/>
                <w:szCs w:val="20"/>
              </w:rPr>
              <w:t>Site Preparation, Construction Materials, Donated labor</w:t>
            </w:r>
          </w:p>
        </w:tc>
        <w:tc>
          <w:tcPr>
            <w:tcW w:w="1464" w:type="dxa"/>
          </w:tcPr>
          <w:p w14:paraId="737D75F9" w14:textId="77777777" w:rsidR="006F46BF" w:rsidRDefault="00000000">
            <w:pPr>
              <w:keepNext/>
              <w:widowControl w:val="0"/>
              <w:spacing w:after="0" w:line="240" w:lineRule="auto"/>
              <w:jc w:val="center"/>
              <w:rPr>
                <w:b/>
                <w:sz w:val="20"/>
                <w:szCs w:val="20"/>
              </w:rPr>
            </w:pPr>
            <w:r>
              <w:rPr>
                <w:b/>
                <w:sz w:val="20"/>
                <w:szCs w:val="20"/>
              </w:rPr>
              <w:t>Bond Financing</w:t>
            </w:r>
          </w:p>
        </w:tc>
        <w:tc>
          <w:tcPr>
            <w:tcW w:w="1464" w:type="dxa"/>
          </w:tcPr>
          <w:p w14:paraId="2F23D688" w14:textId="77777777" w:rsidR="006F46BF" w:rsidRDefault="00000000">
            <w:pPr>
              <w:keepNext/>
              <w:widowControl w:val="0"/>
              <w:spacing w:after="0" w:line="240" w:lineRule="auto"/>
              <w:jc w:val="center"/>
              <w:rPr>
                <w:b/>
                <w:sz w:val="20"/>
                <w:szCs w:val="20"/>
              </w:rPr>
            </w:pPr>
            <w:r>
              <w:rPr>
                <w:b/>
                <w:sz w:val="20"/>
                <w:szCs w:val="20"/>
              </w:rPr>
              <w:t>Total Match</w:t>
            </w:r>
          </w:p>
        </w:tc>
      </w:tr>
      <w:tr w:rsidR="006F46BF" w14:paraId="6CE1018C" w14:textId="77777777">
        <w:trPr>
          <w:cantSplit/>
        </w:trPr>
        <w:tc>
          <w:tcPr>
            <w:tcW w:w="1464" w:type="dxa"/>
          </w:tcPr>
          <w:p w14:paraId="04B5D276" w14:textId="77777777" w:rsidR="006F46BF" w:rsidRDefault="006F46BF">
            <w:pPr>
              <w:keepNext/>
              <w:widowControl w:val="0"/>
              <w:spacing w:after="0" w:line="240" w:lineRule="auto"/>
              <w:rPr>
                <w:sz w:val="20"/>
                <w:szCs w:val="20"/>
              </w:rPr>
            </w:pPr>
          </w:p>
        </w:tc>
        <w:tc>
          <w:tcPr>
            <w:tcW w:w="1464" w:type="dxa"/>
          </w:tcPr>
          <w:p w14:paraId="4E57B915" w14:textId="77777777" w:rsidR="006F46BF" w:rsidRDefault="006F46BF">
            <w:pPr>
              <w:keepNext/>
              <w:widowControl w:val="0"/>
              <w:spacing w:after="0" w:line="240" w:lineRule="auto"/>
              <w:rPr>
                <w:sz w:val="20"/>
                <w:szCs w:val="20"/>
              </w:rPr>
            </w:pPr>
          </w:p>
        </w:tc>
        <w:tc>
          <w:tcPr>
            <w:tcW w:w="1464" w:type="dxa"/>
          </w:tcPr>
          <w:p w14:paraId="166427A8" w14:textId="77777777" w:rsidR="006F46BF" w:rsidRDefault="006F46BF">
            <w:pPr>
              <w:keepNext/>
              <w:widowControl w:val="0"/>
              <w:spacing w:after="0" w:line="240" w:lineRule="auto"/>
              <w:rPr>
                <w:sz w:val="20"/>
                <w:szCs w:val="20"/>
              </w:rPr>
            </w:pPr>
          </w:p>
        </w:tc>
        <w:tc>
          <w:tcPr>
            <w:tcW w:w="1464" w:type="dxa"/>
          </w:tcPr>
          <w:p w14:paraId="1B522762" w14:textId="77777777" w:rsidR="006F46BF" w:rsidRDefault="006F46BF">
            <w:pPr>
              <w:keepNext/>
              <w:widowControl w:val="0"/>
              <w:spacing w:after="0" w:line="240" w:lineRule="auto"/>
              <w:rPr>
                <w:sz w:val="20"/>
                <w:szCs w:val="20"/>
              </w:rPr>
            </w:pPr>
          </w:p>
        </w:tc>
        <w:tc>
          <w:tcPr>
            <w:tcW w:w="1464" w:type="dxa"/>
          </w:tcPr>
          <w:p w14:paraId="39BD9BCA" w14:textId="77777777" w:rsidR="006F46BF" w:rsidRDefault="006F46BF">
            <w:pPr>
              <w:keepNext/>
              <w:widowControl w:val="0"/>
              <w:spacing w:after="0" w:line="240" w:lineRule="auto"/>
              <w:rPr>
                <w:sz w:val="20"/>
                <w:szCs w:val="20"/>
              </w:rPr>
            </w:pPr>
          </w:p>
        </w:tc>
        <w:tc>
          <w:tcPr>
            <w:tcW w:w="1464" w:type="dxa"/>
          </w:tcPr>
          <w:p w14:paraId="3A0E6F46" w14:textId="77777777" w:rsidR="006F46BF" w:rsidRDefault="006F46BF">
            <w:pPr>
              <w:keepNext/>
              <w:widowControl w:val="0"/>
              <w:spacing w:after="0" w:line="240" w:lineRule="auto"/>
              <w:rPr>
                <w:sz w:val="20"/>
                <w:szCs w:val="20"/>
              </w:rPr>
            </w:pPr>
          </w:p>
        </w:tc>
        <w:tc>
          <w:tcPr>
            <w:tcW w:w="1464" w:type="dxa"/>
          </w:tcPr>
          <w:p w14:paraId="56CF9091" w14:textId="77777777" w:rsidR="006F46BF" w:rsidRDefault="006F46BF">
            <w:pPr>
              <w:keepNext/>
              <w:widowControl w:val="0"/>
              <w:spacing w:after="0" w:line="240" w:lineRule="auto"/>
              <w:rPr>
                <w:sz w:val="20"/>
                <w:szCs w:val="20"/>
              </w:rPr>
            </w:pPr>
          </w:p>
        </w:tc>
        <w:tc>
          <w:tcPr>
            <w:tcW w:w="1464" w:type="dxa"/>
          </w:tcPr>
          <w:p w14:paraId="73E9F718" w14:textId="77777777" w:rsidR="006F46BF" w:rsidRDefault="006F46BF">
            <w:pPr>
              <w:keepNext/>
              <w:widowControl w:val="0"/>
              <w:spacing w:after="0" w:line="240" w:lineRule="auto"/>
              <w:rPr>
                <w:sz w:val="20"/>
                <w:szCs w:val="20"/>
              </w:rPr>
            </w:pPr>
          </w:p>
        </w:tc>
        <w:tc>
          <w:tcPr>
            <w:tcW w:w="1464" w:type="dxa"/>
          </w:tcPr>
          <w:p w14:paraId="71B94D8D" w14:textId="77777777" w:rsidR="006F46BF" w:rsidRDefault="006F46BF">
            <w:pPr>
              <w:keepNext/>
              <w:widowControl w:val="0"/>
              <w:spacing w:after="0" w:line="240" w:lineRule="auto"/>
              <w:rPr>
                <w:sz w:val="20"/>
                <w:szCs w:val="20"/>
              </w:rPr>
            </w:pPr>
          </w:p>
        </w:tc>
      </w:tr>
    </w:tbl>
    <w:p w14:paraId="0F054449" w14:textId="77777777" w:rsidR="006F46BF" w:rsidRDefault="00000000">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6</w:t>
      </w:r>
      <w:r>
        <w:rPr>
          <w:rFonts w:asciiTheme="minorHAnsi" w:hAnsiTheme="minorHAnsi"/>
        </w:rPr>
        <w:fldChar w:fldCharType="end"/>
      </w:r>
      <w:r>
        <w:rPr>
          <w:rFonts w:asciiTheme="minorHAnsi" w:hAnsiTheme="minorHAnsi"/>
        </w:rPr>
        <w:t xml:space="preserve"> – Match Contribution for the Federal Fiscal Year</w:t>
      </w:r>
    </w:p>
    <w:p w14:paraId="581951B3" w14:textId="77777777" w:rsidR="006F46BF" w:rsidRDefault="006F46BF"/>
    <w:p w14:paraId="5E602E2C" w14:textId="77777777" w:rsidR="006F46BF" w:rsidRDefault="00000000">
      <w:pPr>
        <w:widowControl w:val="0"/>
        <w:spacing w:line="204" w:lineRule="auto"/>
        <w:rPr>
          <w:b/>
          <w:sz w:val="24"/>
          <w:szCs w:val="24"/>
        </w:rPr>
      </w:pPr>
      <w:r>
        <w:rPr>
          <w:b/>
          <w:sz w:val="24"/>
          <w:szCs w:val="24"/>
        </w:rPr>
        <w:t>HOME MBE/WBE report</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589"/>
        <w:gridCol w:w="2590"/>
        <w:gridCol w:w="2590"/>
        <w:gridCol w:w="2590"/>
        <w:gridCol w:w="2591"/>
      </w:tblGrid>
      <w:tr w:rsidR="006F46BF" w14:paraId="418DDA8C" w14:textId="77777777">
        <w:trPr>
          <w:cantSplit/>
          <w:tblHeader/>
        </w:trPr>
        <w:tc>
          <w:tcPr>
            <w:tcW w:w="13176" w:type="dxa"/>
            <w:gridSpan w:val="5"/>
          </w:tcPr>
          <w:p w14:paraId="2AD82846" w14:textId="77777777" w:rsidR="006F46BF" w:rsidRDefault="00000000">
            <w:pPr>
              <w:keepNext/>
              <w:widowControl w:val="0"/>
              <w:spacing w:after="0" w:line="240" w:lineRule="auto"/>
              <w:rPr>
                <w:b/>
              </w:rPr>
            </w:pPr>
            <w:r>
              <w:rPr>
                <w:b/>
              </w:rPr>
              <w:t xml:space="preserve">Program Income </w:t>
            </w:r>
            <w:r>
              <w:t>– Enter the program amounts for the reporting period</w:t>
            </w:r>
          </w:p>
        </w:tc>
      </w:tr>
      <w:tr w:rsidR="006F46BF" w14:paraId="34C6EFEF" w14:textId="77777777">
        <w:trPr>
          <w:cantSplit/>
          <w:tblHeader/>
        </w:trPr>
        <w:tc>
          <w:tcPr>
            <w:tcW w:w="2635" w:type="dxa"/>
          </w:tcPr>
          <w:p w14:paraId="7A0613E2" w14:textId="77777777" w:rsidR="006F46BF" w:rsidRDefault="00000000">
            <w:pPr>
              <w:keepNext/>
              <w:spacing w:after="0" w:line="240" w:lineRule="auto"/>
              <w:jc w:val="center"/>
              <w:rPr>
                <w:b/>
              </w:rPr>
            </w:pPr>
            <w:r>
              <w:rPr>
                <w:b/>
              </w:rPr>
              <w:t>Balance on hand at begin-</w:t>
            </w:r>
            <w:proofErr w:type="spellStart"/>
            <w:r>
              <w:rPr>
                <w:b/>
              </w:rPr>
              <w:t>ning</w:t>
            </w:r>
            <w:proofErr w:type="spellEnd"/>
            <w:r>
              <w:rPr>
                <w:b/>
              </w:rPr>
              <w:t xml:space="preserve"> of reporting </w:t>
            </w:r>
            <w:proofErr w:type="gramStart"/>
            <w:r>
              <w:rPr>
                <w:b/>
              </w:rPr>
              <w:t>period</w:t>
            </w:r>
            <w:proofErr w:type="gramEnd"/>
          </w:p>
          <w:p w14:paraId="5635BBF0" w14:textId="77777777" w:rsidR="006F46BF" w:rsidRDefault="00000000">
            <w:pPr>
              <w:keepNext/>
              <w:spacing w:after="0" w:line="240" w:lineRule="auto"/>
              <w:jc w:val="center"/>
              <w:rPr>
                <w:b/>
              </w:rPr>
            </w:pPr>
            <w:r>
              <w:rPr>
                <w:b/>
              </w:rPr>
              <w:t>$</w:t>
            </w:r>
          </w:p>
        </w:tc>
        <w:tc>
          <w:tcPr>
            <w:tcW w:w="2635" w:type="dxa"/>
          </w:tcPr>
          <w:p w14:paraId="6677C352" w14:textId="77777777" w:rsidR="006F46BF" w:rsidRDefault="00000000">
            <w:pPr>
              <w:keepNext/>
              <w:spacing w:after="0" w:line="240" w:lineRule="auto"/>
              <w:jc w:val="center"/>
              <w:rPr>
                <w:b/>
              </w:rPr>
            </w:pPr>
            <w:r>
              <w:rPr>
                <w:b/>
              </w:rPr>
              <w:t xml:space="preserve">Amount received during reporting </w:t>
            </w:r>
            <w:proofErr w:type="gramStart"/>
            <w:r>
              <w:rPr>
                <w:b/>
              </w:rPr>
              <w:t>period</w:t>
            </w:r>
            <w:proofErr w:type="gramEnd"/>
          </w:p>
          <w:p w14:paraId="1B8D1887" w14:textId="77777777" w:rsidR="006F46BF" w:rsidRDefault="00000000">
            <w:pPr>
              <w:keepNext/>
              <w:spacing w:after="0" w:line="240" w:lineRule="auto"/>
              <w:jc w:val="center"/>
              <w:rPr>
                <w:b/>
              </w:rPr>
            </w:pPr>
            <w:r>
              <w:rPr>
                <w:b/>
              </w:rPr>
              <w:t>$</w:t>
            </w:r>
          </w:p>
        </w:tc>
        <w:tc>
          <w:tcPr>
            <w:tcW w:w="2635" w:type="dxa"/>
          </w:tcPr>
          <w:p w14:paraId="0EF2B090" w14:textId="77777777" w:rsidR="006F46BF" w:rsidRDefault="00000000">
            <w:pPr>
              <w:keepNext/>
              <w:spacing w:after="0" w:line="240" w:lineRule="auto"/>
              <w:jc w:val="center"/>
              <w:rPr>
                <w:b/>
              </w:rPr>
            </w:pPr>
            <w:r>
              <w:rPr>
                <w:b/>
              </w:rPr>
              <w:t xml:space="preserve">Total amount expended during reporting </w:t>
            </w:r>
            <w:proofErr w:type="gramStart"/>
            <w:r>
              <w:rPr>
                <w:b/>
              </w:rPr>
              <w:t>period</w:t>
            </w:r>
            <w:proofErr w:type="gramEnd"/>
          </w:p>
          <w:p w14:paraId="0F6C3CA9" w14:textId="77777777" w:rsidR="006F46BF" w:rsidRDefault="00000000">
            <w:pPr>
              <w:keepNext/>
              <w:spacing w:after="0" w:line="240" w:lineRule="auto"/>
              <w:jc w:val="center"/>
              <w:rPr>
                <w:b/>
              </w:rPr>
            </w:pPr>
            <w:r>
              <w:rPr>
                <w:b/>
              </w:rPr>
              <w:t>$</w:t>
            </w:r>
          </w:p>
        </w:tc>
        <w:tc>
          <w:tcPr>
            <w:tcW w:w="2635" w:type="dxa"/>
          </w:tcPr>
          <w:p w14:paraId="465FE9A6" w14:textId="77777777" w:rsidR="006F46BF" w:rsidRDefault="00000000">
            <w:pPr>
              <w:keepNext/>
              <w:spacing w:after="0" w:line="240" w:lineRule="auto"/>
              <w:jc w:val="center"/>
              <w:rPr>
                <w:b/>
              </w:rPr>
            </w:pPr>
            <w:r>
              <w:rPr>
                <w:b/>
              </w:rPr>
              <w:t xml:space="preserve">Amount expended for </w:t>
            </w:r>
            <w:proofErr w:type="gramStart"/>
            <w:r>
              <w:rPr>
                <w:b/>
              </w:rPr>
              <w:t>TBRA</w:t>
            </w:r>
            <w:proofErr w:type="gramEnd"/>
          </w:p>
          <w:p w14:paraId="68935F5E" w14:textId="77777777" w:rsidR="006F46BF" w:rsidRDefault="00000000">
            <w:pPr>
              <w:keepNext/>
              <w:spacing w:after="0" w:line="240" w:lineRule="auto"/>
              <w:jc w:val="center"/>
              <w:rPr>
                <w:b/>
              </w:rPr>
            </w:pPr>
            <w:r>
              <w:rPr>
                <w:b/>
              </w:rPr>
              <w:t>$</w:t>
            </w:r>
          </w:p>
        </w:tc>
        <w:tc>
          <w:tcPr>
            <w:tcW w:w="2636" w:type="dxa"/>
          </w:tcPr>
          <w:p w14:paraId="78BE7FB9" w14:textId="77777777" w:rsidR="006F46BF" w:rsidRDefault="00000000">
            <w:pPr>
              <w:keepNext/>
              <w:spacing w:after="0" w:line="240" w:lineRule="auto"/>
              <w:jc w:val="center"/>
              <w:rPr>
                <w:b/>
              </w:rPr>
            </w:pPr>
            <w:r>
              <w:rPr>
                <w:b/>
              </w:rPr>
              <w:t>Balance on hand at end of reporting period</w:t>
            </w:r>
          </w:p>
          <w:p w14:paraId="3F36CF99" w14:textId="77777777" w:rsidR="006F46BF" w:rsidRDefault="00000000">
            <w:pPr>
              <w:keepNext/>
              <w:spacing w:after="0" w:line="240" w:lineRule="auto"/>
              <w:jc w:val="center"/>
              <w:rPr>
                <w:b/>
              </w:rPr>
            </w:pPr>
            <w:r>
              <w:rPr>
                <w:b/>
              </w:rPr>
              <w:t>$</w:t>
            </w:r>
          </w:p>
        </w:tc>
      </w:tr>
      <w:tr w:rsidR="006F46BF" w14:paraId="597F070A" w14:textId="77777777">
        <w:trPr>
          <w:cantSplit/>
        </w:trPr>
        <w:tc>
          <w:tcPr>
            <w:tcW w:w="2637" w:type="dxa"/>
            <w:vAlign w:val="bottom"/>
          </w:tcPr>
          <w:p w14:paraId="4EEF6503" w14:textId="77777777" w:rsidR="006F46BF" w:rsidRDefault="00000000">
            <w:pPr>
              <w:spacing w:beforeAutospacing="1" w:afterAutospacing="1"/>
              <w:jc w:val="right"/>
            </w:pPr>
            <w:r>
              <w:rPr>
                <w:color w:val="000000"/>
              </w:rPr>
              <w:t>56,603</w:t>
            </w:r>
          </w:p>
        </w:tc>
        <w:tc>
          <w:tcPr>
            <w:tcW w:w="2638" w:type="dxa"/>
            <w:vAlign w:val="bottom"/>
          </w:tcPr>
          <w:p w14:paraId="5102FEFA" w14:textId="77777777" w:rsidR="006F46BF" w:rsidRDefault="00000000">
            <w:pPr>
              <w:spacing w:beforeAutospacing="1" w:afterAutospacing="1"/>
              <w:jc w:val="right"/>
            </w:pPr>
            <w:r>
              <w:rPr>
                <w:color w:val="000000"/>
              </w:rPr>
              <w:t>39,110</w:t>
            </w:r>
          </w:p>
        </w:tc>
        <w:tc>
          <w:tcPr>
            <w:tcW w:w="2638" w:type="dxa"/>
            <w:vAlign w:val="bottom"/>
          </w:tcPr>
          <w:p w14:paraId="7AFCA352" w14:textId="77777777" w:rsidR="006F46BF" w:rsidRDefault="00000000">
            <w:pPr>
              <w:spacing w:beforeAutospacing="1" w:afterAutospacing="1"/>
              <w:jc w:val="right"/>
            </w:pPr>
            <w:r>
              <w:rPr>
                <w:color w:val="000000"/>
              </w:rPr>
              <w:t>19,778</w:t>
            </w:r>
          </w:p>
        </w:tc>
        <w:tc>
          <w:tcPr>
            <w:tcW w:w="2638" w:type="dxa"/>
            <w:vAlign w:val="bottom"/>
          </w:tcPr>
          <w:p w14:paraId="49126D36" w14:textId="77777777" w:rsidR="006F46BF" w:rsidRDefault="00000000">
            <w:pPr>
              <w:spacing w:beforeAutospacing="1" w:afterAutospacing="1"/>
              <w:jc w:val="right"/>
            </w:pPr>
            <w:r>
              <w:rPr>
                <w:color w:val="000000"/>
              </w:rPr>
              <w:t>0</w:t>
            </w:r>
          </w:p>
        </w:tc>
        <w:tc>
          <w:tcPr>
            <w:tcW w:w="2639" w:type="dxa"/>
            <w:vAlign w:val="bottom"/>
          </w:tcPr>
          <w:p w14:paraId="62F48429" w14:textId="77777777" w:rsidR="006F46BF" w:rsidRDefault="00000000">
            <w:pPr>
              <w:spacing w:beforeAutospacing="1" w:afterAutospacing="1"/>
              <w:jc w:val="right"/>
            </w:pPr>
            <w:r>
              <w:rPr>
                <w:color w:val="000000"/>
              </w:rPr>
              <w:t>75,935</w:t>
            </w:r>
          </w:p>
        </w:tc>
      </w:tr>
    </w:tbl>
    <w:p w14:paraId="793DE4EB" w14:textId="77777777" w:rsidR="006F46BF" w:rsidRDefault="00000000">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7</w:t>
      </w:r>
      <w:r>
        <w:rPr>
          <w:rFonts w:asciiTheme="minorHAnsi" w:hAnsiTheme="minorHAnsi"/>
        </w:rPr>
        <w:fldChar w:fldCharType="end"/>
      </w:r>
      <w:r>
        <w:rPr>
          <w:rFonts w:asciiTheme="minorHAnsi" w:hAnsiTheme="minorHAnsi"/>
        </w:rPr>
        <w:t xml:space="preserve"> – Program Income</w:t>
      </w:r>
    </w:p>
    <w:p w14:paraId="568406DA" w14:textId="77777777" w:rsidR="006F46BF" w:rsidRDefault="006F46BF">
      <w:pPr>
        <w:widowControl w:val="0"/>
        <w:spacing w:after="0" w:line="240" w:lineRule="auto"/>
        <w:rPr>
          <w:b/>
          <w:sz w:val="20"/>
          <w:szCs w:val="20"/>
        </w:rPr>
      </w:pPr>
    </w:p>
    <w:p w14:paraId="2207C039" w14:textId="77777777" w:rsidR="006F46BF" w:rsidRDefault="006F46BF">
      <w:pPr>
        <w:widowControl w:val="0"/>
        <w:spacing w:after="0" w:line="240" w:lineRule="auto"/>
        <w:jc w:val="center"/>
        <w:rPr>
          <w:b/>
          <w:sz w:val="20"/>
          <w:szCs w:val="20"/>
        </w:rPr>
        <w:sectPr w:rsidR="006F46BF">
          <w:pgSz w:w="15840" w:h="12240" w:orient="landscape" w:code="1"/>
          <w:pgMar w:top="1440" w:right="1440" w:bottom="1440" w:left="1440" w:header="720" w:footer="720" w:gutter="0"/>
          <w:cols w:space="720"/>
          <w:docGrid w:linePitch="360"/>
        </w:sectPr>
      </w:pP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6F46BF" w14:paraId="4E2D90B2" w14:textId="77777777">
        <w:tc>
          <w:tcPr>
            <w:tcW w:w="9576" w:type="dxa"/>
          </w:tcPr>
          <w:p w14:paraId="1E661B2F" w14:textId="77777777" w:rsidR="006F46BF" w:rsidRDefault="00000000">
            <w:pPr>
              <w:keepNext/>
              <w:widowControl w:val="0"/>
              <w:spacing w:after="0" w:line="240" w:lineRule="auto"/>
              <w:rPr>
                <w:b/>
              </w:rPr>
            </w:pPr>
            <w:r>
              <w:rPr>
                <w:b/>
              </w:rPr>
              <w:lastRenderedPageBreak/>
              <w:t xml:space="preserve">Minority Business Enterprises and Women Business Enterprises – </w:t>
            </w:r>
            <w:r>
              <w:t>Indicate the number and dollar value of contracts for HOME projects completed during the reporting period</w:t>
            </w:r>
          </w:p>
        </w:tc>
      </w:tr>
    </w:tbl>
    <w:p w14:paraId="4514E676" w14:textId="77777777" w:rsidR="006F46BF" w:rsidRDefault="006F46BF">
      <w:pPr>
        <w:keepNext/>
        <w:widowControl w:val="0"/>
        <w:spacing w:after="0" w:line="240" w:lineRule="auto"/>
        <w:rPr>
          <w:b/>
          <w:vanish/>
          <w:sz w:val="24"/>
          <w:szCs w:val="24"/>
        </w:rPr>
      </w:pP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335"/>
        <w:gridCol w:w="1335"/>
        <w:gridCol w:w="1336"/>
        <w:gridCol w:w="1336"/>
        <w:gridCol w:w="1336"/>
        <w:gridCol w:w="1336"/>
        <w:gridCol w:w="1336"/>
      </w:tblGrid>
      <w:tr w:rsidR="006F46BF" w14:paraId="68F0F180" w14:textId="77777777">
        <w:trPr>
          <w:cantSplit/>
        </w:trPr>
        <w:tc>
          <w:tcPr>
            <w:tcW w:w="1368" w:type="dxa"/>
            <w:vMerge w:val="restart"/>
          </w:tcPr>
          <w:p w14:paraId="4DDA28FD" w14:textId="77777777" w:rsidR="006F46BF" w:rsidRDefault="006F46BF">
            <w:pPr>
              <w:keepNext/>
              <w:widowControl w:val="0"/>
              <w:spacing w:after="0" w:line="240" w:lineRule="auto"/>
              <w:rPr>
                <w:b/>
              </w:rPr>
            </w:pPr>
          </w:p>
        </w:tc>
        <w:tc>
          <w:tcPr>
            <w:tcW w:w="1368" w:type="dxa"/>
            <w:vMerge w:val="restart"/>
          </w:tcPr>
          <w:p w14:paraId="45634FDF" w14:textId="77777777" w:rsidR="006F46BF" w:rsidRDefault="00000000">
            <w:pPr>
              <w:keepNext/>
              <w:widowControl w:val="0"/>
              <w:spacing w:after="0" w:line="240" w:lineRule="auto"/>
              <w:jc w:val="center"/>
              <w:rPr>
                <w:b/>
              </w:rPr>
            </w:pPr>
            <w:r>
              <w:rPr>
                <w:b/>
              </w:rPr>
              <w:t>Total</w:t>
            </w:r>
          </w:p>
        </w:tc>
        <w:tc>
          <w:tcPr>
            <w:tcW w:w="5472" w:type="dxa"/>
            <w:gridSpan w:val="4"/>
          </w:tcPr>
          <w:p w14:paraId="0DFBEF50" w14:textId="77777777" w:rsidR="006F46BF" w:rsidRDefault="00000000">
            <w:pPr>
              <w:keepNext/>
              <w:widowControl w:val="0"/>
              <w:spacing w:after="0" w:line="240" w:lineRule="auto"/>
              <w:jc w:val="center"/>
              <w:rPr>
                <w:b/>
              </w:rPr>
            </w:pPr>
            <w:r>
              <w:rPr>
                <w:b/>
              </w:rPr>
              <w:t>Minority Business Enterprises</w:t>
            </w:r>
          </w:p>
        </w:tc>
        <w:tc>
          <w:tcPr>
            <w:tcW w:w="1368" w:type="dxa"/>
            <w:vMerge w:val="restart"/>
          </w:tcPr>
          <w:p w14:paraId="1518869D" w14:textId="77777777" w:rsidR="006F46BF" w:rsidRDefault="00000000">
            <w:pPr>
              <w:keepNext/>
              <w:widowControl w:val="0"/>
              <w:spacing w:after="0" w:line="240" w:lineRule="auto"/>
              <w:jc w:val="center"/>
              <w:rPr>
                <w:b/>
              </w:rPr>
            </w:pPr>
            <w:r>
              <w:rPr>
                <w:b/>
              </w:rPr>
              <w:t>White Non-Hispanic</w:t>
            </w:r>
          </w:p>
        </w:tc>
      </w:tr>
      <w:tr w:rsidR="006F46BF" w14:paraId="067EEB5A" w14:textId="77777777">
        <w:trPr>
          <w:cantSplit/>
        </w:trPr>
        <w:tc>
          <w:tcPr>
            <w:tcW w:w="1368" w:type="dxa"/>
            <w:vMerge/>
          </w:tcPr>
          <w:p w14:paraId="7E6DABBD" w14:textId="77777777" w:rsidR="006F46BF" w:rsidRDefault="006F46BF">
            <w:pPr>
              <w:keepNext/>
              <w:widowControl w:val="0"/>
              <w:spacing w:after="0" w:line="240" w:lineRule="auto"/>
              <w:rPr>
                <w:b/>
              </w:rPr>
            </w:pPr>
          </w:p>
        </w:tc>
        <w:tc>
          <w:tcPr>
            <w:tcW w:w="1368" w:type="dxa"/>
            <w:vMerge/>
          </w:tcPr>
          <w:p w14:paraId="5062759C" w14:textId="77777777" w:rsidR="006F46BF" w:rsidRDefault="006F46BF">
            <w:pPr>
              <w:keepNext/>
              <w:widowControl w:val="0"/>
              <w:spacing w:after="0" w:line="240" w:lineRule="auto"/>
              <w:rPr>
                <w:b/>
              </w:rPr>
            </w:pPr>
          </w:p>
        </w:tc>
        <w:tc>
          <w:tcPr>
            <w:tcW w:w="1368" w:type="dxa"/>
          </w:tcPr>
          <w:p w14:paraId="6C46B690" w14:textId="77777777" w:rsidR="006F46BF" w:rsidRDefault="00000000">
            <w:pPr>
              <w:keepNext/>
              <w:spacing w:after="0" w:line="240" w:lineRule="auto"/>
              <w:jc w:val="center"/>
              <w:rPr>
                <w:b/>
              </w:rPr>
            </w:pPr>
            <w:r>
              <w:rPr>
                <w:b/>
              </w:rPr>
              <w:t>Alaskan Native or American Indian</w:t>
            </w:r>
          </w:p>
        </w:tc>
        <w:tc>
          <w:tcPr>
            <w:tcW w:w="1368" w:type="dxa"/>
          </w:tcPr>
          <w:p w14:paraId="6FD6AACB" w14:textId="77777777" w:rsidR="006F46BF" w:rsidRDefault="00000000">
            <w:pPr>
              <w:keepNext/>
              <w:widowControl w:val="0"/>
              <w:spacing w:after="0" w:line="240" w:lineRule="auto"/>
              <w:jc w:val="center"/>
              <w:rPr>
                <w:b/>
              </w:rPr>
            </w:pPr>
            <w:r>
              <w:rPr>
                <w:b/>
              </w:rPr>
              <w:t>Asian or Pacific Islander</w:t>
            </w:r>
          </w:p>
        </w:tc>
        <w:tc>
          <w:tcPr>
            <w:tcW w:w="1368" w:type="dxa"/>
          </w:tcPr>
          <w:p w14:paraId="196330F3" w14:textId="77777777" w:rsidR="006F46BF" w:rsidRDefault="00000000">
            <w:pPr>
              <w:keepNext/>
              <w:widowControl w:val="0"/>
              <w:spacing w:after="0" w:line="240" w:lineRule="auto"/>
              <w:jc w:val="center"/>
              <w:rPr>
                <w:b/>
              </w:rPr>
            </w:pPr>
            <w:r>
              <w:rPr>
                <w:b/>
              </w:rPr>
              <w:t>Black Non-Hispanic</w:t>
            </w:r>
          </w:p>
        </w:tc>
        <w:tc>
          <w:tcPr>
            <w:tcW w:w="1368" w:type="dxa"/>
          </w:tcPr>
          <w:p w14:paraId="0D598FDB" w14:textId="77777777" w:rsidR="006F46BF" w:rsidRDefault="00000000">
            <w:pPr>
              <w:keepNext/>
              <w:widowControl w:val="0"/>
              <w:spacing w:after="0" w:line="240" w:lineRule="auto"/>
              <w:jc w:val="center"/>
              <w:rPr>
                <w:b/>
              </w:rPr>
            </w:pPr>
            <w:r>
              <w:rPr>
                <w:b/>
              </w:rPr>
              <w:t>Hispanic</w:t>
            </w:r>
          </w:p>
        </w:tc>
        <w:tc>
          <w:tcPr>
            <w:tcW w:w="1368" w:type="dxa"/>
            <w:vMerge/>
          </w:tcPr>
          <w:p w14:paraId="3FF0732A" w14:textId="77777777" w:rsidR="006F46BF" w:rsidRDefault="006F46BF">
            <w:pPr>
              <w:keepNext/>
              <w:widowControl w:val="0"/>
              <w:spacing w:after="0" w:line="240" w:lineRule="auto"/>
              <w:jc w:val="center"/>
              <w:rPr>
                <w:b/>
              </w:rPr>
            </w:pPr>
          </w:p>
        </w:tc>
      </w:tr>
    </w:tbl>
    <w:p w14:paraId="4E178E0C" w14:textId="77777777" w:rsidR="006F46BF" w:rsidRDefault="006F46BF">
      <w:pPr>
        <w:keepNext/>
        <w:widowControl w:val="0"/>
        <w:spacing w:after="0" w:line="240" w:lineRule="auto"/>
        <w:rPr>
          <w:b/>
          <w:vanish/>
          <w:sz w:val="24"/>
          <w:szCs w:val="24"/>
        </w:rPr>
      </w:pP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335"/>
        <w:gridCol w:w="1335"/>
        <w:gridCol w:w="1336"/>
        <w:gridCol w:w="1336"/>
        <w:gridCol w:w="1336"/>
        <w:gridCol w:w="1336"/>
        <w:gridCol w:w="1336"/>
      </w:tblGrid>
      <w:tr w:rsidR="006F46BF" w14:paraId="42BB3E10" w14:textId="77777777">
        <w:trPr>
          <w:cantSplit/>
        </w:trPr>
        <w:tc>
          <w:tcPr>
            <w:tcW w:w="9576" w:type="dxa"/>
            <w:gridSpan w:val="7"/>
          </w:tcPr>
          <w:p w14:paraId="78B13E98" w14:textId="77777777" w:rsidR="006F46BF" w:rsidRDefault="00000000">
            <w:pPr>
              <w:keepNext/>
              <w:widowControl w:val="0"/>
              <w:spacing w:after="0" w:line="240" w:lineRule="auto"/>
              <w:rPr>
                <w:b/>
              </w:rPr>
            </w:pPr>
            <w:r>
              <w:rPr>
                <w:b/>
              </w:rPr>
              <w:t>Contracts</w:t>
            </w:r>
          </w:p>
        </w:tc>
      </w:tr>
      <w:tr w:rsidR="006F46BF" w14:paraId="0170EAA4" w14:textId="77777777">
        <w:trPr>
          <w:cantSplit/>
          <w:hidden/>
        </w:trPr>
        <w:tc>
          <w:tcPr>
            <w:tcW w:w="1368" w:type="dxa"/>
          </w:tcPr>
          <w:p w14:paraId="2448B492" w14:textId="77777777" w:rsidR="006F46BF" w:rsidRDefault="006F46BF">
            <w:pPr>
              <w:keepNext/>
              <w:widowControl w:val="0"/>
              <w:spacing w:after="0" w:line="240" w:lineRule="auto"/>
              <w:rPr>
                <w:b/>
                <w:vanish/>
              </w:rPr>
            </w:pPr>
          </w:p>
        </w:tc>
        <w:tc>
          <w:tcPr>
            <w:tcW w:w="1368" w:type="dxa"/>
          </w:tcPr>
          <w:p w14:paraId="144406D4" w14:textId="77777777" w:rsidR="006F46BF" w:rsidRDefault="006F46BF">
            <w:pPr>
              <w:keepNext/>
              <w:widowControl w:val="0"/>
              <w:spacing w:after="0" w:line="240" w:lineRule="auto"/>
              <w:rPr>
                <w:b/>
                <w:vanish/>
              </w:rPr>
            </w:pPr>
          </w:p>
        </w:tc>
        <w:tc>
          <w:tcPr>
            <w:tcW w:w="1368" w:type="dxa"/>
          </w:tcPr>
          <w:p w14:paraId="10C6B8ED" w14:textId="77777777" w:rsidR="006F46BF" w:rsidRDefault="006F46BF">
            <w:pPr>
              <w:keepNext/>
              <w:widowControl w:val="0"/>
              <w:spacing w:after="0" w:line="240" w:lineRule="auto"/>
              <w:rPr>
                <w:b/>
                <w:vanish/>
              </w:rPr>
            </w:pPr>
          </w:p>
        </w:tc>
        <w:tc>
          <w:tcPr>
            <w:tcW w:w="1368" w:type="dxa"/>
          </w:tcPr>
          <w:p w14:paraId="32B121A2" w14:textId="77777777" w:rsidR="006F46BF" w:rsidRDefault="006F46BF">
            <w:pPr>
              <w:keepNext/>
              <w:widowControl w:val="0"/>
              <w:spacing w:after="0" w:line="240" w:lineRule="auto"/>
              <w:rPr>
                <w:b/>
                <w:vanish/>
              </w:rPr>
            </w:pPr>
          </w:p>
        </w:tc>
        <w:tc>
          <w:tcPr>
            <w:tcW w:w="1368" w:type="dxa"/>
          </w:tcPr>
          <w:p w14:paraId="50640CE8" w14:textId="77777777" w:rsidR="006F46BF" w:rsidRDefault="006F46BF">
            <w:pPr>
              <w:keepNext/>
              <w:widowControl w:val="0"/>
              <w:spacing w:after="0" w:line="240" w:lineRule="auto"/>
              <w:rPr>
                <w:b/>
                <w:vanish/>
              </w:rPr>
            </w:pPr>
          </w:p>
        </w:tc>
        <w:tc>
          <w:tcPr>
            <w:tcW w:w="1368" w:type="dxa"/>
          </w:tcPr>
          <w:p w14:paraId="294FFDF1" w14:textId="77777777" w:rsidR="006F46BF" w:rsidRDefault="006F46BF">
            <w:pPr>
              <w:keepNext/>
              <w:widowControl w:val="0"/>
              <w:spacing w:after="0" w:line="240" w:lineRule="auto"/>
              <w:rPr>
                <w:b/>
                <w:vanish/>
              </w:rPr>
            </w:pPr>
          </w:p>
        </w:tc>
        <w:tc>
          <w:tcPr>
            <w:tcW w:w="1368" w:type="dxa"/>
          </w:tcPr>
          <w:p w14:paraId="7CCDE256" w14:textId="77777777" w:rsidR="006F46BF" w:rsidRDefault="006F46BF">
            <w:pPr>
              <w:keepNext/>
              <w:widowControl w:val="0"/>
              <w:spacing w:after="0" w:line="240" w:lineRule="auto"/>
              <w:rPr>
                <w:b/>
                <w:vanish/>
              </w:rPr>
            </w:pPr>
          </w:p>
        </w:tc>
      </w:tr>
      <w:tr w:rsidR="006F46BF" w14:paraId="789D06B2" w14:textId="77777777">
        <w:trPr>
          <w:cantSplit/>
        </w:trPr>
        <w:tc>
          <w:tcPr>
            <w:tcW w:w="1370" w:type="dxa"/>
          </w:tcPr>
          <w:p w14:paraId="63E6508B" w14:textId="77777777" w:rsidR="006F46BF" w:rsidRDefault="00000000">
            <w:pPr>
              <w:spacing w:beforeAutospacing="1" w:afterAutospacing="1"/>
            </w:pPr>
            <w:r>
              <w:rPr>
                <w:color w:val="000000"/>
              </w:rPr>
              <w:t>Dollar Amount</w:t>
            </w:r>
          </w:p>
        </w:tc>
        <w:tc>
          <w:tcPr>
            <w:tcW w:w="1370" w:type="dxa"/>
            <w:vAlign w:val="bottom"/>
          </w:tcPr>
          <w:p w14:paraId="15ACE2D4" w14:textId="77777777" w:rsidR="006F46BF" w:rsidRDefault="00000000">
            <w:pPr>
              <w:spacing w:beforeAutospacing="1" w:afterAutospacing="1"/>
              <w:jc w:val="right"/>
            </w:pPr>
            <w:r>
              <w:rPr>
                <w:color w:val="000000"/>
              </w:rPr>
              <w:t>0</w:t>
            </w:r>
          </w:p>
        </w:tc>
        <w:tc>
          <w:tcPr>
            <w:tcW w:w="1370" w:type="dxa"/>
            <w:vAlign w:val="bottom"/>
          </w:tcPr>
          <w:p w14:paraId="2486A766" w14:textId="77777777" w:rsidR="006F46BF" w:rsidRDefault="00000000">
            <w:pPr>
              <w:spacing w:beforeAutospacing="1" w:afterAutospacing="1"/>
              <w:jc w:val="right"/>
            </w:pPr>
            <w:r>
              <w:rPr>
                <w:color w:val="000000"/>
              </w:rPr>
              <w:t>0</w:t>
            </w:r>
          </w:p>
        </w:tc>
        <w:tc>
          <w:tcPr>
            <w:tcW w:w="1370" w:type="dxa"/>
            <w:vAlign w:val="bottom"/>
          </w:tcPr>
          <w:p w14:paraId="5CD0B95D" w14:textId="77777777" w:rsidR="006F46BF" w:rsidRDefault="00000000">
            <w:pPr>
              <w:spacing w:beforeAutospacing="1" w:afterAutospacing="1"/>
              <w:jc w:val="right"/>
            </w:pPr>
            <w:r>
              <w:rPr>
                <w:color w:val="000000"/>
              </w:rPr>
              <w:t>0</w:t>
            </w:r>
          </w:p>
        </w:tc>
        <w:tc>
          <w:tcPr>
            <w:tcW w:w="1370" w:type="dxa"/>
            <w:vAlign w:val="bottom"/>
          </w:tcPr>
          <w:p w14:paraId="4E63FF4C" w14:textId="77777777" w:rsidR="006F46BF" w:rsidRDefault="00000000">
            <w:pPr>
              <w:spacing w:beforeAutospacing="1" w:afterAutospacing="1"/>
              <w:jc w:val="right"/>
            </w:pPr>
            <w:r>
              <w:rPr>
                <w:color w:val="000000"/>
              </w:rPr>
              <w:t>0</w:t>
            </w:r>
          </w:p>
        </w:tc>
        <w:tc>
          <w:tcPr>
            <w:tcW w:w="1370" w:type="dxa"/>
            <w:vAlign w:val="bottom"/>
          </w:tcPr>
          <w:p w14:paraId="6D45F0A1" w14:textId="77777777" w:rsidR="006F46BF" w:rsidRDefault="00000000">
            <w:pPr>
              <w:spacing w:beforeAutospacing="1" w:afterAutospacing="1"/>
              <w:jc w:val="right"/>
            </w:pPr>
            <w:r>
              <w:rPr>
                <w:color w:val="000000"/>
              </w:rPr>
              <w:t>0</w:t>
            </w:r>
          </w:p>
        </w:tc>
        <w:tc>
          <w:tcPr>
            <w:tcW w:w="1370" w:type="dxa"/>
            <w:vAlign w:val="bottom"/>
          </w:tcPr>
          <w:p w14:paraId="2F2D5184" w14:textId="77777777" w:rsidR="006F46BF" w:rsidRDefault="00000000">
            <w:pPr>
              <w:spacing w:beforeAutospacing="1" w:afterAutospacing="1"/>
              <w:jc w:val="right"/>
            </w:pPr>
            <w:r>
              <w:rPr>
                <w:color w:val="000000"/>
              </w:rPr>
              <w:t>0</w:t>
            </w:r>
          </w:p>
        </w:tc>
      </w:tr>
      <w:tr w:rsidR="006F46BF" w14:paraId="431C76EB" w14:textId="77777777">
        <w:trPr>
          <w:cantSplit/>
        </w:trPr>
        <w:tc>
          <w:tcPr>
            <w:tcW w:w="1370" w:type="dxa"/>
          </w:tcPr>
          <w:p w14:paraId="3B16E163" w14:textId="77777777" w:rsidR="006F46BF" w:rsidRDefault="00000000">
            <w:pPr>
              <w:spacing w:beforeAutospacing="1" w:afterAutospacing="1"/>
            </w:pPr>
            <w:r>
              <w:rPr>
                <w:color w:val="000000"/>
              </w:rPr>
              <w:t>Number</w:t>
            </w:r>
          </w:p>
        </w:tc>
        <w:tc>
          <w:tcPr>
            <w:tcW w:w="1370" w:type="dxa"/>
            <w:vAlign w:val="bottom"/>
          </w:tcPr>
          <w:p w14:paraId="77D15D37" w14:textId="77777777" w:rsidR="006F46BF" w:rsidRDefault="00000000">
            <w:pPr>
              <w:spacing w:beforeAutospacing="1" w:afterAutospacing="1"/>
              <w:jc w:val="right"/>
            </w:pPr>
            <w:r>
              <w:rPr>
                <w:color w:val="000000"/>
              </w:rPr>
              <w:t>1</w:t>
            </w:r>
          </w:p>
        </w:tc>
        <w:tc>
          <w:tcPr>
            <w:tcW w:w="1370" w:type="dxa"/>
            <w:vAlign w:val="bottom"/>
          </w:tcPr>
          <w:p w14:paraId="35F20769" w14:textId="77777777" w:rsidR="006F46BF" w:rsidRDefault="00000000">
            <w:pPr>
              <w:spacing w:beforeAutospacing="1" w:afterAutospacing="1"/>
              <w:jc w:val="right"/>
            </w:pPr>
            <w:r>
              <w:rPr>
                <w:color w:val="000000"/>
              </w:rPr>
              <w:t>0</w:t>
            </w:r>
          </w:p>
        </w:tc>
        <w:tc>
          <w:tcPr>
            <w:tcW w:w="1370" w:type="dxa"/>
            <w:vAlign w:val="bottom"/>
          </w:tcPr>
          <w:p w14:paraId="21130783" w14:textId="77777777" w:rsidR="006F46BF" w:rsidRDefault="00000000">
            <w:pPr>
              <w:spacing w:beforeAutospacing="1" w:afterAutospacing="1"/>
              <w:jc w:val="right"/>
            </w:pPr>
            <w:r>
              <w:rPr>
                <w:color w:val="000000"/>
              </w:rPr>
              <w:t>0</w:t>
            </w:r>
          </w:p>
        </w:tc>
        <w:tc>
          <w:tcPr>
            <w:tcW w:w="1370" w:type="dxa"/>
            <w:vAlign w:val="bottom"/>
          </w:tcPr>
          <w:p w14:paraId="7213E130" w14:textId="77777777" w:rsidR="006F46BF" w:rsidRDefault="00000000">
            <w:pPr>
              <w:spacing w:beforeAutospacing="1" w:afterAutospacing="1"/>
              <w:jc w:val="right"/>
            </w:pPr>
            <w:r>
              <w:rPr>
                <w:color w:val="000000"/>
              </w:rPr>
              <w:t>0</w:t>
            </w:r>
          </w:p>
        </w:tc>
        <w:tc>
          <w:tcPr>
            <w:tcW w:w="1370" w:type="dxa"/>
            <w:vAlign w:val="bottom"/>
          </w:tcPr>
          <w:p w14:paraId="7FB2DBE7" w14:textId="77777777" w:rsidR="006F46BF" w:rsidRDefault="00000000">
            <w:pPr>
              <w:spacing w:beforeAutospacing="1" w:afterAutospacing="1"/>
              <w:jc w:val="right"/>
            </w:pPr>
            <w:r>
              <w:rPr>
                <w:color w:val="000000"/>
              </w:rPr>
              <w:t>0</w:t>
            </w:r>
          </w:p>
        </w:tc>
        <w:tc>
          <w:tcPr>
            <w:tcW w:w="1370" w:type="dxa"/>
            <w:vAlign w:val="bottom"/>
          </w:tcPr>
          <w:p w14:paraId="0BAB3BA9" w14:textId="77777777" w:rsidR="006F46BF" w:rsidRDefault="00000000">
            <w:pPr>
              <w:spacing w:beforeAutospacing="1" w:afterAutospacing="1"/>
              <w:jc w:val="right"/>
            </w:pPr>
            <w:r>
              <w:rPr>
                <w:color w:val="000000"/>
              </w:rPr>
              <w:t>1</w:t>
            </w:r>
          </w:p>
        </w:tc>
      </w:tr>
    </w:tbl>
    <w:p w14:paraId="360AFBE0" w14:textId="77777777" w:rsidR="006F46BF" w:rsidRDefault="006F46BF">
      <w:pPr>
        <w:keepNext/>
        <w:widowControl w:val="0"/>
        <w:spacing w:after="0" w:line="240" w:lineRule="auto"/>
        <w:rPr>
          <w:b/>
          <w:vanish/>
          <w:sz w:val="24"/>
          <w:szCs w:val="24"/>
        </w:rPr>
      </w:pP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335"/>
        <w:gridCol w:w="1335"/>
        <w:gridCol w:w="1336"/>
        <w:gridCol w:w="1336"/>
        <w:gridCol w:w="1336"/>
        <w:gridCol w:w="1336"/>
        <w:gridCol w:w="1336"/>
      </w:tblGrid>
      <w:tr w:rsidR="006F46BF" w14:paraId="2ACB23CC" w14:textId="77777777">
        <w:trPr>
          <w:cantSplit/>
        </w:trPr>
        <w:tc>
          <w:tcPr>
            <w:tcW w:w="9576" w:type="dxa"/>
            <w:gridSpan w:val="7"/>
          </w:tcPr>
          <w:p w14:paraId="5E6D866E" w14:textId="77777777" w:rsidR="006F46BF" w:rsidRDefault="00000000">
            <w:pPr>
              <w:keepNext/>
              <w:widowControl w:val="0"/>
              <w:spacing w:after="0" w:line="240" w:lineRule="auto"/>
              <w:rPr>
                <w:b/>
              </w:rPr>
            </w:pPr>
            <w:r>
              <w:rPr>
                <w:b/>
              </w:rPr>
              <w:t>Sub-Contracts</w:t>
            </w:r>
          </w:p>
        </w:tc>
      </w:tr>
      <w:tr w:rsidR="006F46BF" w14:paraId="6B256C18" w14:textId="77777777">
        <w:trPr>
          <w:cantSplit/>
          <w:hidden/>
        </w:trPr>
        <w:tc>
          <w:tcPr>
            <w:tcW w:w="1368" w:type="dxa"/>
          </w:tcPr>
          <w:p w14:paraId="4E2909EC" w14:textId="77777777" w:rsidR="006F46BF" w:rsidRDefault="006F46BF">
            <w:pPr>
              <w:keepNext/>
              <w:widowControl w:val="0"/>
              <w:spacing w:after="0" w:line="240" w:lineRule="auto"/>
              <w:rPr>
                <w:b/>
                <w:vanish/>
              </w:rPr>
            </w:pPr>
          </w:p>
        </w:tc>
        <w:tc>
          <w:tcPr>
            <w:tcW w:w="1368" w:type="dxa"/>
          </w:tcPr>
          <w:p w14:paraId="176E8126" w14:textId="77777777" w:rsidR="006F46BF" w:rsidRDefault="006F46BF">
            <w:pPr>
              <w:keepNext/>
              <w:widowControl w:val="0"/>
              <w:spacing w:after="0" w:line="240" w:lineRule="auto"/>
              <w:rPr>
                <w:b/>
                <w:vanish/>
              </w:rPr>
            </w:pPr>
          </w:p>
        </w:tc>
        <w:tc>
          <w:tcPr>
            <w:tcW w:w="1368" w:type="dxa"/>
          </w:tcPr>
          <w:p w14:paraId="055D3D30" w14:textId="77777777" w:rsidR="006F46BF" w:rsidRDefault="006F46BF">
            <w:pPr>
              <w:keepNext/>
              <w:widowControl w:val="0"/>
              <w:spacing w:after="0" w:line="240" w:lineRule="auto"/>
              <w:rPr>
                <w:b/>
                <w:vanish/>
              </w:rPr>
            </w:pPr>
          </w:p>
        </w:tc>
        <w:tc>
          <w:tcPr>
            <w:tcW w:w="1368" w:type="dxa"/>
          </w:tcPr>
          <w:p w14:paraId="65011E9F" w14:textId="77777777" w:rsidR="006F46BF" w:rsidRDefault="006F46BF">
            <w:pPr>
              <w:keepNext/>
              <w:widowControl w:val="0"/>
              <w:spacing w:after="0" w:line="240" w:lineRule="auto"/>
              <w:rPr>
                <w:b/>
                <w:vanish/>
              </w:rPr>
            </w:pPr>
          </w:p>
        </w:tc>
        <w:tc>
          <w:tcPr>
            <w:tcW w:w="1368" w:type="dxa"/>
          </w:tcPr>
          <w:p w14:paraId="77009ED6" w14:textId="77777777" w:rsidR="006F46BF" w:rsidRDefault="006F46BF">
            <w:pPr>
              <w:keepNext/>
              <w:widowControl w:val="0"/>
              <w:spacing w:after="0" w:line="240" w:lineRule="auto"/>
              <w:rPr>
                <w:b/>
                <w:vanish/>
              </w:rPr>
            </w:pPr>
          </w:p>
        </w:tc>
        <w:tc>
          <w:tcPr>
            <w:tcW w:w="1368" w:type="dxa"/>
          </w:tcPr>
          <w:p w14:paraId="6DDA7937" w14:textId="77777777" w:rsidR="006F46BF" w:rsidRDefault="006F46BF">
            <w:pPr>
              <w:keepNext/>
              <w:widowControl w:val="0"/>
              <w:spacing w:after="0" w:line="240" w:lineRule="auto"/>
              <w:rPr>
                <w:b/>
                <w:vanish/>
              </w:rPr>
            </w:pPr>
          </w:p>
        </w:tc>
        <w:tc>
          <w:tcPr>
            <w:tcW w:w="1368" w:type="dxa"/>
          </w:tcPr>
          <w:p w14:paraId="71692E62" w14:textId="77777777" w:rsidR="006F46BF" w:rsidRDefault="006F46BF">
            <w:pPr>
              <w:keepNext/>
              <w:widowControl w:val="0"/>
              <w:spacing w:after="0" w:line="240" w:lineRule="auto"/>
              <w:rPr>
                <w:b/>
                <w:vanish/>
              </w:rPr>
            </w:pPr>
          </w:p>
        </w:tc>
      </w:tr>
      <w:tr w:rsidR="006F46BF" w14:paraId="79B36F12" w14:textId="77777777">
        <w:trPr>
          <w:cantSplit/>
        </w:trPr>
        <w:tc>
          <w:tcPr>
            <w:tcW w:w="1370" w:type="dxa"/>
          </w:tcPr>
          <w:p w14:paraId="15B0D6B9" w14:textId="77777777" w:rsidR="006F46BF" w:rsidRDefault="00000000">
            <w:pPr>
              <w:spacing w:beforeAutospacing="1" w:afterAutospacing="1"/>
            </w:pPr>
            <w:r>
              <w:rPr>
                <w:color w:val="000000"/>
              </w:rPr>
              <w:t>Number</w:t>
            </w:r>
          </w:p>
        </w:tc>
        <w:tc>
          <w:tcPr>
            <w:tcW w:w="1370" w:type="dxa"/>
            <w:vAlign w:val="bottom"/>
          </w:tcPr>
          <w:p w14:paraId="3C2A3061" w14:textId="77777777" w:rsidR="006F46BF" w:rsidRDefault="00000000">
            <w:pPr>
              <w:spacing w:beforeAutospacing="1" w:afterAutospacing="1"/>
              <w:jc w:val="right"/>
            </w:pPr>
            <w:r>
              <w:rPr>
                <w:color w:val="000000"/>
              </w:rPr>
              <w:t>0</w:t>
            </w:r>
          </w:p>
        </w:tc>
        <w:tc>
          <w:tcPr>
            <w:tcW w:w="1370" w:type="dxa"/>
            <w:vAlign w:val="bottom"/>
          </w:tcPr>
          <w:p w14:paraId="398EC36B" w14:textId="77777777" w:rsidR="006F46BF" w:rsidRDefault="00000000">
            <w:pPr>
              <w:spacing w:beforeAutospacing="1" w:afterAutospacing="1"/>
              <w:jc w:val="right"/>
            </w:pPr>
            <w:r>
              <w:rPr>
                <w:color w:val="000000"/>
              </w:rPr>
              <w:t>0</w:t>
            </w:r>
          </w:p>
        </w:tc>
        <w:tc>
          <w:tcPr>
            <w:tcW w:w="1370" w:type="dxa"/>
            <w:vAlign w:val="bottom"/>
          </w:tcPr>
          <w:p w14:paraId="34EBB2F8" w14:textId="77777777" w:rsidR="006F46BF" w:rsidRDefault="00000000">
            <w:pPr>
              <w:spacing w:beforeAutospacing="1" w:afterAutospacing="1"/>
              <w:jc w:val="right"/>
            </w:pPr>
            <w:r>
              <w:rPr>
                <w:color w:val="000000"/>
              </w:rPr>
              <w:t>0</w:t>
            </w:r>
          </w:p>
        </w:tc>
        <w:tc>
          <w:tcPr>
            <w:tcW w:w="1370" w:type="dxa"/>
            <w:vAlign w:val="bottom"/>
          </w:tcPr>
          <w:p w14:paraId="513D986D" w14:textId="77777777" w:rsidR="006F46BF" w:rsidRDefault="00000000">
            <w:pPr>
              <w:spacing w:beforeAutospacing="1" w:afterAutospacing="1"/>
              <w:jc w:val="right"/>
            </w:pPr>
            <w:r>
              <w:rPr>
                <w:color w:val="000000"/>
              </w:rPr>
              <w:t>0</w:t>
            </w:r>
          </w:p>
        </w:tc>
        <w:tc>
          <w:tcPr>
            <w:tcW w:w="1370" w:type="dxa"/>
            <w:vAlign w:val="bottom"/>
          </w:tcPr>
          <w:p w14:paraId="430D809D" w14:textId="77777777" w:rsidR="006F46BF" w:rsidRDefault="00000000">
            <w:pPr>
              <w:spacing w:beforeAutospacing="1" w:afterAutospacing="1"/>
              <w:jc w:val="right"/>
            </w:pPr>
            <w:r>
              <w:rPr>
                <w:color w:val="000000"/>
              </w:rPr>
              <w:t>0</w:t>
            </w:r>
          </w:p>
        </w:tc>
        <w:tc>
          <w:tcPr>
            <w:tcW w:w="1370" w:type="dxa"/>
            <w:vAlign w:val="bottom"/>
          </w:tcPr>
          <w:p w14:paraId="780BD9E7" w14:textId="77777777" w:rsidR="006F46BF" w:rsidRDefault="00000000">
            <w:pPr>
              <w:spacing w:beforeAutospacing="1" w:afterAutospacing="1"/>
              <w:jc w:val="right"/>
            </w:pPr>
            <w:r>
              <w:rPr>
                <w:color w:val="000000"/>
              </w:rPr>
              <w:t>0</w:t>
            </w:r>
          </w:p>
        </w:tc>
      </w:tr>
      <w:tr w:rsidR="006F46BF" w14:paraId="12C189D3" w14:textId="77777777">
        <w:trPr>
          <w:cantSplit/>
        </w:trPr>
        <w:tc>
          <w:tcPr>
            <w:tcW w:w="1370" w:type="dxa"/>
          </w:tcPr>
          <w:p w14:paraId="73B904FD" w14:textId="77777777" w:rsidR="006F46BF" w:rsidRDefault="00000000">
            <w:pPr>
              <w:spacing w:beforeAutospacing="1" w:afterAutospacing="1"/>
            </w:pPr>
            <w:r>
              <w:rPr>
                <w:color w:val="000000"/>
              </w:rPr>
              <w:t>Dollar Amount</w:t>
            </w:r>
          </w:p>
        </w:tc>
        <w:tc>
          <w:tcPr>
            <w:tcW w:w="1370" w:type="dxa"/>
            <w:vAlign w:val="bottom"/>
          </w:tcPr>
          <w:p w14:paraId="1C015D11" w14:textId="77777777" w:rsidR="006F46BF" w:rsidRDefault="00000000">
            <w:pPr>
              <w:spacing w:beforeAutospacing="1" w:afterAutospacing="1"/>
              <w:jc w:val="right"/>
            </w:pPr>
            <w:r>
              <w:rPr>
                <w:color w:val="000000"/>
              </w:rPr>
              <w:t>0</w:t>
            </w:r>
          </w:p>
        </w:tc>
        <w:tc>
          <w:tcPr>
            <w:tcW w:w="1370" w:type="dxa"/>
            <w:vAlign w:val="bottom"/>
          </w:tcPr>
          <w:p w14:paraId="7B5C1217" w14:textId="77777777" w:rsidR="006F46BF" w:rsidRDefault="00000000">
            <w:pPr>
              <w:spacing w:beforeAutospacing="1" w:afterAutospacing="1"/>
              <w:jc w:val="right"/>
            </w:pPr>
            <w:r>
              <w:rPr>
                <w:color w:val="000000"/>
              </w:rPr>
              <w:t>0</w:t>
            </w:r>
          </w:p>
        </w:tc>
        <w:tc>
          <w:tcPr>
            <w:tcW w:w="1370" w:type="dxa"/>
            <w:vAlign w:val="bottom"/>
          </w:tcPr>
          <w:p w14:paraId="162EF00C" w14:textId="77777777" w:rsidR="006F46BF" w:rsidRDefault="00000000">
            <w:pPr>
              <w:spacing w:beforeAutospacing="1" w:afterAutospacing="1"/>
              <w:jc w:val="right"/>
            </w:pPr>
            <w:r>
              <w:rPr>
                <w:color w:val="000000"/>
              </w:rPr>
              <w:t>0</w:t>
            </w:r>
          </w:p>
        </w:tc>
        <w:tc>
          <w:tcPr>
            <w:tcW w:w="1370" w:type="dxa"/>
            <w:vAlign w:val="bottom"/>
          </w:tcPr>
          <w:p w14:paraId="21BBC138" w14:textId="77777777" w:rsidR="006F46BF" w:rsidRDefault="00000000">
            <w:pPr>
              <w:spacing w:beforeAutospacing="1" w:afterAutospacing="1"/>
              <w:jc w:val="right"/>
            </w:pPr>
            <w:r>
              <w:rPr>
                <w:color w:val="000000"/>
              </w:rPr>
              <w:t>0</w:t>
            </w:r>
          </w:p>
        </w:tc>
        <w:tc>
          <w:tcPr>
            <w:tcW w:w="1370" w:type="dxa"/>
            <w:vAlign w:val="bottom"/>
          </w:tcPr>
          <w:p w14:paraId="3AF05869" w14:textId="77777777" w:rsidR="006F46BF" w:rsidRDefault="00000000">
            <w:pPr>
              <w:spacing w:beforeAutospacing="1" w:afterAutospacing="1"/>
              <w:jc w:val="right"/>
            </w:pPr>
            <w:r>
              <w:rPr>
                <w:color w:val="000000"/>
              </w:rPr>
              <w:t>0</w:t>
            </w:r>
          </w:p>
        </w:tc>
        <w:tc>
          <w:tcPr>
            <w:tcW w:w="1370" w:type="dxa"/>
            <w:vAlign w:val="bottom"/>
          </w:tcPr>
          <w:p w14:paraId="317C9088" w14:textId="77777777" w:rsidR="006F46BF" w:rsidRDefault="00000000">
            <w:pPr>
              <w:spacing w:beforeAutospacing="1" w:afterAutospacing="1"/>
              <w:jc w:val="right"/>
            </w:pPr>
            <w:r>
              <w:rPr>
                <w:color w:val="000000"/>
              </w:rPr>
              <w:t>0</w:t>
            </w:r>
          </w:p>
        </w:tc>
      </w:tr>
    </w:tbl>
    <w:p w14:paraId="25D12405" w14:textId="77777777" w:rsidR="006F46BF" w:rsidRDefault="006F46BF">
      <w:pPr>
        <w:widowControl w:val="0"/>
        <w:spacing w:after="0" w:line="240" w:lineRule="auto"/>
        <w:rPr>
          <w:b/>
          <w:vanish/>
          <w:sz w:val="24"/>
          <w:szCs w:val="24"/>
        </w:rPr>
      </w:pPr>
    </w:p>
    <w:tbl>
      <w:tblPr>
        <w:tblW w:w="286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337"/>
        <w:gridCol w:w="1337"/>
        <w:gridCol w:w="1337"/>
        <w:gridCol w:w="1337"/>
      </w:tblGrid>
      <w:tr w:rsidR="006F46BF" w14:paraId="2B0D8E77" w14:textId="77777777">
        <w:trPr>
          <w:cantSplit/>
        </w:trPr>
        <w:tc>
          <w:tcPr>
            <w:tcW w:w="1394" w:type="dxa"/>
          </w:tcPr>
          <w:p w14:paraId="635F886A" w14:textId="77777777" w:rsidR="006F46BF" w:rsidRDefault="006F46BF">
            <w:pPr>
              <w:keepNext/>
              <w:widowControl w:val="0"/>
              <w:spacing w:after="0" w:line="240" w:lineRule="auto"/>
              <w:rPr>
                <w:b/>
              </w:rPr>
            </w:pPr>
          </w:p>
        </w:tc>
        <w:tc>
          <w:tcPr>
            <w:tcW w:w="1393" w:type="dxa"/>
          </w:tcPr>
          <w:p w14:paraId="630137FA" w14:textId="77777777" w:rsidR="006F46BF" w:rsidRDefault="00000000">
            <w:pPr>
              <w:keepNext/>
              <w:widowControl w:val="0"/>
              <w:spacing w:after="0" w:line="240" w:lineRule="auto"/>
              <w:jc w:val="center"/>
              <w:rPr>
                <w:b/>
              </w:rPr>
            </w:pPr>
            <w:r>
              <w:rPr>
                <w:b/>
              </w:rPr>
              <w:t>Total</w:t>
            </w:r>
          </w:p>
        </w:tc>
        <w:tc>
          <w:tcPr>
            <w:tcW w:w="1393" w:type="dxa"/>
          </w:tcPr>
          <w:p w14:paraId="40CD5A1F" w14:textId="77777777" w:rsidR="006F46BF" w:rsidRDefault="00000000">
            <w:pPr>
              <w:keepNext/>
              <w:widowControl w:val="0"/>
              <w:spacing w:after="0" w:line="240" w:lineRule="auto"/>
              <w:jc w:val="center"/>
              <w:rPr>
                <w:b/>
                <w:szCs w:val="24"/>
              </w:rPr>
            </w:pPr>
            <w:r>
              <w:rPr>
                <w:b/>
              </w:rPr>
              <w:t>Women Business Enterprises</w:t>
            </w:r>
          </w:p>
        </w:tc>
        <w:tc>
          <w:tcPr>
            <w:tcW w:w="1393" w:type="dxa"/>
          </w:tcPr>
          <w:p w14:paraId="21072B1C" w14:textId="77777777" w:rsidR="006F46BF" w:rsidRDefault="00000000">
            <w:pPr>
              <w:keepNext/>
              <w:widowControl w:val="0"/>
              <w:spacing w:after="0" w:line="240" w:lineRule="auto"/>
              <w:jc w:val="center"/>
              <w:rPr>
                <w:b/>
                <w:szCs w:val="24"/>
              </w:rPr>
            </w:pPr>
            <w:r>
              <w:rPr>
                <w:b/>
              </w:rPr>
              <w:t>Male</w:t>
            </w:r>
          </w:p>
        </w:tc>
      </w:tr>
    </w:tbl>
    <w:p w14:paraId="421F3509" w14:textId="77777777" w:rsidR="006F46BF" w:rsidRDefault="006F46BF">
      <w:pPr>
        <w:keepNext/>
        <w:widowControl w:val="0"/>
        <w:spacing w:after="0" w:line="240" w:lineRule="auto"/>
        <w:rPr>
          <w:b/>
          <w:vanish/>
          <w:sz w:val="24"/>
          <w:szCs w:val="24"/>
        </w:rPr>
      </w:pPr>
    </w:p>
    <w:tbl>
      <w:tblPr>
        <w:tblW w:w="286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358"/>
        <w:gridCol w:w="1330"/>
        <w:gridCol w:w="1330"/>
        <w:gridCol w:w="1330"/>
      </w:tblGrid>
      <w:tr w:rsidR="006F46BF" w14:paraId="09F18D69" w14:textId="77777777">
        <w:trPr>
          <w:cantSplit/>
        </w:trPr>
        <w:tc>
          <w:tcPr>
            <w:tcW w:w="5485" w:type="dxa"/>
            <w:gridSpan w:val="4"/>
          </w:tcPr>
          <w:p w14:paraId="424270E3" w14:textId="77777777" w:rsidR="006F46BF" w:rsidRDefault="00000000">
            <w:pPr>
              <w:keepNext/>
              <w:widowControl w:val="0"/>
              <w:spacing w:after="0" w:line="240" w:lineRule="auto"/>
              <w:rPr>
                <w:b/>
              </w:rPr>
            </w:pPr>
            <w:r>
              <w:rPr>
                <w:b/>
              </w:rPr>
              <w:t>Contracts</w:t>
            </w:r>
          </w:p>
        </w:tc>
      </w:tr>
      <w:tr w:rsidR="006F46BF" w14:paraId="18B6E3D8" w14:textId="77777777">
        <w:trPr>
          <w:cantSplit/>
          <w:hidden/>
        </w:trPr>
        <w:tc>
          <w:tcPr>
            <w:tcW w:w="1393" w:type="dxa"/>
          </w:tcPr>
          <w:p w14:paraId="12CA9990" w14:textId="77777777" w:rsidR="006F46BF" w:rsidRDefault="006F46BF">
            <w:pPr>
              <w:keepNext/>
              <w:widowControl w:val="0"/>
              <w:spacing w:after="0" w:line="240" w:lineRule="auto"/>
              <w:rPr>
                <w:b/>
                <w:vanish/>
              </w:rPr>
            </w:pPr>
          </w:p>
        </w:tc>
        <w:tc>
          <w:tcPr>
            <w:tcW w:w="1364" w:type="dxa"/>
          </w:tcPr>
          <w:p w14:paraId="0171E76F" w14:textId="77777777" w:rsidR="006F46BF" w:rsidRDefault="006F46BF">
            <w:pPr>
              <w:keepNext/>
              <w:widowControl w:val="0"/>
              <w:spacing w:after="0" w:line="240" w:lineRule="auto"/>
              <w:rPr>
                <w:b/>
                <w:vanish/>
              </w:rPr>
            </w:pPr>
          </w:p>
        </w:tc>
        <w:tc>
          <w:tcPr>
            <w:tcW w:w="1364" w:type="dxa"/>
          </w:tcPr>
          <w:p w14:paraId="09C830B2" w14:textId="77777777" w:rsidR="006F46BF" w:rsidRDefault="006F46BF">
            <w:pPr>
              <w:keepNext/>
              <w:widowControl w:val="0"/>
              <w:spacing w:after="0" w:line="240" w:lineRule="auto"/>
              <w:rPr>
                <w:b/>
                <w:vanish/>
              </w:rPr>
            </w:pPr>
          </w:p>
        </w:tc>
        <w:tc>
          <w:tcPr>
            <w:tcW w:w="1364" w:type="dxa"/>
          </w:tcPr>
          <w:p w14:paraId="6000C5F3" w14:textId="77777777" w:rsidR="006F46BF" w:rsidRDefault="006F46BF">
            <w:pPr>
              <w:keepNext/>
              <w:widowControl w:val="0"/>
              <w:spacing w:after="0" w:line="240" w:lineRule="auto"/>
              <w:rPr>
                <w:b/>
                <w:vanish/>
              </w:rPr>
            </w:pPr>
          </w:p>
        </w:tc>
      </w:tr>
      <w:tr w:rsidR="006F46BF" w14:paraId="0AB8F8F4" w14:textId="77777777">
        <w:trPr>
          <w:cantSplit/>
        </w:trPr>
        <w:tc>
          <w:tcPr>
            <w:tcW w:w="1393" w:type="dxa"/>
          </w:tcPr>
          <w:p w14:paraId="3B4F881F" w14:textId="77777777" w:rsidR="006F46BF" w:rsidRDefault="00000000">
            <w:pPr>
              <w:spacing w:beforeAutospacing="1" w:afterAutospacing="1"/>
            </w:pPr>
            <w:r>
              <w:rPr>
                <w:color w:val="000000"/>
              </w:rPr>
              <w:t>Dollar Amount</w:t>
            </w:r>
          </w:p>
        </w:tc>
        <w:tc>
          <w:tcPr>
            <w:tcW w:w="1364" w:type="dxa"/>
            <w:vAlign w:val="bottom"/>
          </w:tcPr>
          <w:p w14:paraId="7525DF01" w14:textId="77777777" w:rsidR="006F46BF" w:rsidRDefault="00000000">
            <w:pPr>
              <w:spacing w:beforeAutospacing="1" w:afterAutospacing="1"/>
              <w:jc w:val="right"/>
            </w:pPr>
            <w:r>
              <w:rPr>
                <w:color w:val="000000"/>
              </w:rPr>
              <w:t>0</w:t>
            </w:r>
          </w:p>
        </w:tc>
        <w:tc>
          <w:tcPr>
            <w:tcW w:w="1364" w:type="dxa"/>
            <w:vAlign w:val="bottom"/>
          </w:tcPr>
          <w:p w14:paraId="48E93016" w14:textId="77777777" w:rsidR="006F46BF" w:rsidRDefault="00000000">
            <w:pPr>
              <w:spacing w:beforeAutospacing="1" w:afterAutospacing="1"/>
              <w:jc w:val="right"/>
            </w:pPr>
            <w:r>
              <w:rPr>
                <w:color w:val="000000"/>
              </w:rPr>
              <w:t>0</w:t>
            </w:r>
          </w:p>
        </w:tc>
        <w:tc>
          <w:tcPr>
            <w:tcW w:w="1364" w:type="dxa"/>
            <w:vAlign w:val="bottom"/>
          </w:tcPr>
          <w:p w14:paraId="34E6863F" w14:textId="77777777" w:rsidR="006F46BF" w:rsidRDefault="00000000">
            <w:pPr>
              <w:spacing w:beforeAutospacing="1" w:afterAutospacing="1"/>
              <w:jc w:val="right"/>
            </w:pPr>
            <w:r>
              <w:rPr>
                <w:color w:val="000000"/>
              </w:rPr>
              <w:t>0</w:t>
            </w:r>
          </w:p>
        </w:tc>
      </w:tr>
      <w:tr w:rsidR="006F46BF" w14:paraId="42E199EB" w14:textId="77777777">
        <w:trPr>
          <w:cantSplit/>
        </w:trPr>
        <w:tc>
          <w:tcPr>
            <w:tcW w:w="1393" w:type="dxa"/>
          </w:tcPr>
          <w:p w14:paraId="753368DA" w14:textId="77777777" w:rsidR="006F46BF" w:rsidRDefault="00000000">
            <w:pPr>
              <w:spacing w:beforeAutospacing="1" w:afterAutospacing="1"/>
            </w:pPr>
            <w:r>
              <w:rPr>
                <w:color w:val="000000"/>
              </w:rPr>
              <w:t>Number</w:t>
            </w:r>
          </w:p>
        </w:tc>
        <w:tc>
          <w:tcPr>
            <w:tcW w:w="1364" w:type="dxa"/>
            <w:vAlign w:val="bottom"/>
          </w:tcPr>
          <w:p w14:paraId="504A6696" w14:textId="77777777" w:rsidR="006F46BF" w:rsidRDefault="00000000">
            <w:pPr>
              <w:spacing w:beforeAutospacing="1" w:afterAutospacing="1"/>
              <w:jc w:val="right"/>
            </w:pPr>
            <w:r>
              <w:rPr>
                <w:color w:val="000000"/>
              </w:rPr>
              <w:t>0</w:t>
            </w:r>
          </w:p>
        </w:tc>
        <w:tc>
          <w:tcPr>
            <w:tcW w:w="1364" w:type="dxa"/>
            <w:vAlign w:val="bottom"/>
          </w:tcPr>
          <w:p w14:paraId="514E57D7" w14:textId="77777777" w:rsidR="006F46BF" w:rsidRDefault="00000000">
            <w:pPr>
              <w:spacing w:beforeAutospacing="1" w:afterAutospacing="1"/>
              <w:jc w:val="right"/>
            </w:pPr>
            <w:r>
              <w:rPr>
                <w:color w:val="000000"/>
              </w:rPr>
              <w:t>0</w:t>
            </w:r>
          </w:p>
        </w:tc>
        <w:tc>
          <w:tcPr>
            <w:tcW w:w="1364" w:type="dxa"/>
            <w:vAlign w:val="bottom"/>
          </w:tcPr>
          <w:p w14:paraId="458CBAA8" w14:textId="77777777" w:rsidR="006F46BF" w:rsidRDefault="00000000">
            <w:pPr>
              <w:spacing w:beforeAutospacing="1" w:afterAutospacing="1"/>
              <w:jc w:val="right"/>
            </w:pPr>
            <w:r>
              <w:rPr>
                <w:color w:val="000000"/>
              </w:rPr>
              <w:t>0</w:t>
            </w:r>
          </w:p>
        </w:tc>
      </w:tr>
    </w:tbl>
    <w:p w14:paraId="63DAB2DF" w14:textId="77777777" w:rsidR="006F46BF" w:rsidRDefault="006F46BF">
      <w:pPr>
        <w:widowControl w:val="0"/>
        <w:spacing w:after="0" w:line="240" w:lineRule="auto"/>
        <w:rPr>
          <w:b/>
          <w:vanish/>
          <w:sz w:val="24"/>
          <w:szCs w:val="24"/>
        </w:rPr>
      </w:pPr>
    </w:p>
    <w:tbl>
      <w:tblPr>
        <w:tblW w:w="286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358"/>
        <w:gridCol w:w="1330"/>
        <w:gridCol w:w="1330"/>
        <w:gridCol w:w="1330"/>
      </w:tblGrid>
      <w:tr w:rsidR="006F46BF" w14:paraId="05FCD2CC" w14:textId="77777777">
        <w:trPr>
          <w:cantSplit/>
        </w:trPr>
        <w:tc>
          <w:tcPr>
            <w:tcW w:w="5485" w:type="dxa"/>
            <w:gridSpan w:val="4"/>
          </w:tcPr>
          <w:p w14:paraId="580D016F" w14:textId="77777777" w:rsidR="006F46BF" w:rsidRDefault="00000000">
            <w:pPr>
              <w:keepNext/>
              <w:widowControl w:val="0"/>
              <w:spacing w:after="0" w:line="240" w:lineRule="auto"/>
              <w:rPr>
                <w:b/>
              </w:rPr>
            </w:pPr>
            <w:r>
              <w:rPr>
                <w:b/>
              </w:rPr>
              <w:t>Sub-Contracts</w:t>
            </w:r>
          </w:p>
        </w:tc>
      </w:tr>
      <w:tr w:rsidR="006F46BF" w14:paraId="528681B6" w14:textId="77777777">
        <w:trPr>
          <w:cantSplit/>
          <w:hidden/>
        </w:trPr>
        <w:tc>
          <w:tcPr>
            <w:tcW w:w="1393" w:type="dxa"/>
          </w:tcPr>
          <w:p w14:paraId="4F2F9CEC" w14:textId="77777777" w:rsidR="006F46BF" w:rsidRDefault="006F46BF">
            <w:pPr>
              <w:keepNext/>
              <w:widowControl w:val="0"/>
              <w:spacing w:after="0" w:line="240" w:lineRule="auto"/>
              <w:rPr>
                <w:b/>
                <w:vanish/>
              </w:rPr>
            </w:pPr>
          </w:p>
        </w:tc>
        <w:tc>
          <w:tcPr>
            <w:tcW w:w="1364" w:type="dxa"/>
          </w:tcPr>
          <w:p w14:paraId="70A3E824" w14:textId="77777777" w:rsidR="006F46BF" w:rsidRDefault="006F46BF">
            <w:pPr>
              <w:keepNext/>
              <w:widowControl w:val="0"/>
              <w:spacing w:after="0" w:line="240" w:lineRule="auto"/>
              <w:rPr>
                <w:b/>
                <w:vanish/>
              </w:rPr>
            </w:pPr>
          </w:p>
        </w:tc>
        <w:tc>
          <w:tcPr>
            <w:tcW w:w="1364" w:type="dxa"/>
          </w:tcPr>
          <w:p w14:paraId="5B0DA82F" w14:textId="77777777" w:rsidR="006F46BF" w:rsidRDefault="006F46BF">
            <w:pPr>
              <w:keepNext/>
              <w:widowControl w:val="0"/>
              <w:spacing w:after="0" w:line="240" w:lineRule="auto"/>
              <w:rPr>
                <w:b/>
                <w:vanish/>
              </w:rPr>
            </w:pPr>
          </w:p>
        </w:tc>
        <w:tc>
          <w:tcPr>
            <w:tcW w:w="1364" w:type="dxa"/>
          </w:tcPr>
          <w:p w14:paraId="35F9FDB3" w14:textId="77777777" w:rsidR="006F46BF" w:rsidRDefault="006F46BF">
            <w:pPr>
              <w:keepNext/>
              <w:widowControl w:val="0"/>
              <w:spacing w:after="0" w:line="240" w:lineRule="auto"/>
              <w:rPr>
                <w:b/>
                <w:vanish/>
              </w:rPr>
            </w:pPr>
          </w:p>
        </w:tc>
      </w:tr>
      <w:tr w:rsidR="006F46BF" w14:paraId="41736DB2" w14:textId="77777777">
        <w:trPr>
          <w:cantSplit/>
        </w:trPr>
        <w:tc>
          <w:tcPr>
            <w:tcW w:w="1393" w:type="dxa"/>
          </w:tcPr>
          <w:p w14:paraId="0D2AFA1D" w14:textId="77777777" w:rsidR="006F46BF" w:rsidRDefault="00000000">
            <w:pPr>
              <w:spacing w:beforeAutospacing="1" w:afterAutospacing="1"/>
            </w:pPr>
            <w:r>
              <w:rPr>
                <w:color w:val="000000"/>
              </w:rPr>
              <w:t>Number</w:t>
            </w:r>
          </w:p>
        </w:tc>
        <w:tc>
          <w:tcPr>
            <w:tcW w:w="1364" w:type="dxa"/>
            <w:vAlign w:val="bottom"/>
          </w:tcPr>
          <w:p w14:paraId="44C9D997" w14:textId="77777777" w:rsidR="006F46BF" w:rsidRDefault="00000000">
            <w:pPr>
              <w:spacing w:beforeAutospacing="1" w:afterAutospacing="1"/>
              <w:jc w:val="right"/>
            </w:pPr>
            <w:r>
              <w:rPr>
                <w:color w:val="000000"/>
              </w:rPr>
              <w:t>0</w:t>
            </w:r>
          </w:p>
        </w:tc>
        <w:tc>
          <w:tcPr>
            <w:tcW w:w="1364" w:type="dxa"/>
            <w:vAlign w:val="bottom"/>
          </w:tcPr>
          <w:p w14:paraId="0EAD5265" w14:textId="77777777" w:rsidR="006F46BF" w:rsidRDefault="00000000">
            <w:pPr>
              <w:spacing w:beforeAutospacing="1" w:afterAutospacing="1"/>
              <w:jc w:val="right"/>
            </w:pPr>
            <w:r>
              <w:rPr>
                <w:color w:val="000000"/>
              </w:rPr>
              <w:t>0</w:t>
            </w:r>
          </w:p>
        </w:tc>
        <w:tc>
          <w:tcPr>
            <w:tcW w:w="1364" w:type="dxa"/>
            <w:vAlign w:val="bottom"/>
          </w:tcPr>
          <w:p w14:paraId="2A3EACAF" w14:textId="77777777" w:rsidR="006F46BF" w:rsidRDefault="00000000">
            <w:pPr>
              <w:spacing w:beforeAutospacing="1" w:afterAutospacing="1"/>
              <w:jc w:val="right"/>
            </w:pPr>
            <w:r>
              <w:rPr>
                <w:color w:val="000000"/>
              </w:rPr>
              <w:t>0</w:t>
            </w:r>
          </w:p>
        </w:tc>
      </w:tr>
      <w:tr w:rsidR="006F46BF" w14:paraId="72F3F63D" w14:textId="77777777">
        <w:trPr>
          <w:cantSplit/>
        </w:trPr>
        <w:tc>
          <w:tcPr>
            <w:tcW w:w="1393" w:type="dxa"/>
          </w:tcPr>
          <w:p w14:paraId="04442161" w14:textId="77777777" w:rsidR="006F46BF" w:rsidRDefault="00000000">
            <w:pPr>
              <w:spacing w:beforeAutospacing="1" w:afterAutospacing="1"/>
            </w:pPr>
            <w:r>
              <w:rPr>
                <w:color w:val="000000"/>
              </w:rPr>
              <w:t>Dollar Amount</w:t>
            </w:r>
          </w:p>
        </w:tc>
        <w:tc>
          <w:tcPr>
            <w:tcW w:w="1364" w:type="dxa"/>
            <w:vAlign w:val="bottom"/>
          </w:tcPr>
          <w:p w14:paraId="44C1464D" w14:textId="77777777" w:rsidR="006F46BF" w:rsidRDefault="00000000">
            <w:pPr>
              <w:spacing w:beforeAutospacing="1" w:afterAutospacing="1"/>
              <w:jc w:val="right"/>
            </w:pPr>
            <w:r>
              <w:rPr>
                <w:color w:val="000000"/>
              </w:rPr>
              <w:t>0</w:t>
            </w:r>
          </w:p>
        </w:tc>
        <w:tc>
          <w:tcPr>
            <w:tcW w:w="1364" w:type="dxa"/>
            <w:vAlign w:val="bottom"/>
          </w:tcPr>
          <w:p w14:paraId="45B2DD6D" w14:textId="77777777" w:rsidR="006F46BF" w:rsidRDefault="00000000">
            <w:pPr>
              <w:spacing w:beforeAutospacing="1" w:afterAutospacing="1"/>
              <w:jc w:val="right"/>
            </w:pPr>
            <w:r>
              <w:rPr>
                <w:color w:val="000000"/>
              </w:rPr>
              <w:t>0</w:t>
            </w:r>
          </w:p>
        </w:tc>
        <w:tc>
          <w:tcPr>
            <w:tcW w:w="1364" w:type="dxa"/>
            <w:vAlign w:val="bottom"/>
          </w:tcPr>
          <w:p w14:paraId="79E57630" w14:textId="77777777" w:rsidR="006F46BF" w:rsidRDefault="00000000">
            <w:pPr>
              <w:spacing w:beforeAutospacing="1" w:afterAutospacing="1"/>
              <w:jc w:val="right"/>
            </w:pPr>
            <w:r>
              <w:rPr>
                <w:color w:val="000000"/>
              </w:rPr>
              <w:t>0</w:t>
            </w:r>
          </w:p>
        </w:tc>
      </w:tr>
    </w:tbl>
    <w:p w14:paraId="143A6418" w14:textId="77777777" w:rsidR="006F46BF" w:rsidRDefault="00000000">
      <w:pPr>
        <w:pStyle w:val="Caption"/>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8</w:t>
      </w:r>
      <w:r>
        <w:rPr>
          <w:rFonts w:asciiTheme="minorHAnsi" w:hAnsiTheme="minorHAnsi"/>
        </w:rPr>
        <w:fldChar w:fldCharType="end"/>
      </w:r>
      <w:r>
        <w:rPr>
          <w:rFonts w:asciiTheme="minorHAnsi" w:hAnsiTheme="minorHAnsi"/>
        </w:rPr>
        <w:t xml:space="preserve"> - Minority Business and Women Business Enterprises</w:t>
      </w:r>
    </w:p>
    <w:p w14:paraId="1F1EAFC8" w14:textId="77777777" w:rsidR="006F46BF" w:rsidRDefault="006F46BF">
      <w:pPr>
        <w:widowControl w:val="0"/>
        <w:spacing w:after="0" w:line="240" w:lineRule="auto"/>
        <w:rPr>
          <w:b/>
          <w:sz w:val="24"/>
          <w:szCs w:val="24"/>
        </w:rPr>
      </w:pP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6F46BF" w14:paraId="79A94763" w14:textId="77777777">
        <w:tc>
          <w:tcPr>
            <w:tcW w:w="9576" w:type="dxa"/>
          </w:tcPr>
          <w:p w14:paraId="774A54EF" w14:textId="77777777" w:rsidR="006F46BF" w:rsidRDefault="00000000">
            <w:pPr>
              <w:keepNext/>
              <w:widowControl w:val="0"/>
              <w:spacing w:after="0" w:line="240" w:lineRule="auto"/>
              <w:rPr>
                <w:b/>
                <w:szCs w:val="24"/>
              </w:rPr>
            </w:pPr>
            <w:r>
              <w:rPr>
                <w:b/>
              </w:rPr>
              <w:t xml:space="preserve">Minority Owners of Rental Property </w:t>
            </w:r>
            <w:r>
              <w:t>– Indicate the number of HOME assisted rental property owners and the total amount of HOME funds in these rental properties assisted</w:t>
            </w:r>
          </w:p>
        </w:tc>
      </w:tr>
    </w:tbl>
    <w:p w14:paraId="6E2496D3" w14:textId="77777777" w:rsidR="006F46BF" w:rsidRDefault="006F46BF">
      <w:pPr>
        <w:keepNext/>
        <w:widowControl w:val="0"/>
        <w:spacing w:after="0" w:line="240" w:lineRule="auto"/>
        <w:rPr>
          <w:b/>
          <w:vanish/>
          <w:sz w:val="24"/>
          <w:szCs w:val="24"/>
        </w:rPr>
      </w:pP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374"/>
        <w:gridCol w:w="793"/>
        <w:gridCol w:w="1486"/>
        <w:gridCol w:w="1398"/>
        <w:gridCol w:w="1433"/>
        <w:gridCol w:w="1433"/>
        <w:gridCol w:w="1433"/>
      </w:tblGrid>
      <w:tr w:rsidR="006F46BF" w14:paraId="34A7D44C" w14:textId="77777777">
        <w:tc>
          <w:tcPr>
            <w:tcW w:w="1408" w:type="dxa"/>
            <w:vMerge w:val="restart"/>
          </w:tcPr>
          <w:p w14:paraId="0CBB1238" w14:textId="77777777" w:rsidR="006F46BF" w:rsidRDefault="006F46BF">
            <w:pPr>
              <w:keepNext/>
              <w:widowControl w:val="0"/>
              <w:spacing w:after="0" w:line="240" w:lineRule="auto"/>
              <w:jc w:val="center"/>
              <w:rPr>
                <w:b/>
              </w:rPr>
            </w:pPr>
          </w:p>
        </w:tc>
        <w:tc>
          <w:tcPr>
            <w:tcW w:w="809" w:type="dxa"/>
            <w:vMerge w:val="restart"/>
          </w:tcPr>
          <w:p w14:paraId="7FB6A1AB" w14:textId="77777777" w:rsidR="006F46BF" w:rsidRDefault="00000000">
            <w:pPr>
              <w:keepNext/>
              <w:widowControl w:val="0"/>
              <w:spacing w:after="0" w:line="240" w:lineRule="auto"/>
              <w:jc w:val="center"/>
              <w:rPr>
                <w:b/>
              </w:rPr>
            </w:pPr>
            <w:r>
              <w:rPr>
                <w:b/>
              </w:rPr>
              <w:t>Total</w:t>
            </w:r>
          </w:p>
        </w:tc>
        <w:tc>
          <w:tcPr>
            <w:tcW w:w="5891" w:type="dxa"/>
            <w:gridSpan w:val="4"/>
          </w:tcPr>
          <w:p w14:paraId="1C650739" w14:textId="77777777" w:rsidR="006F46BF" w:rsidRDefault="00000000">
            <w:pPr>
              <w:keepNext/>
              <w:widowControl w:val="0"/>
              <w:spacing w:after="0" w:line="240" w:lineRule="auto"/>
              <w:jc w:val="center"/>
              <w:rPr>
                <w:b/>
              </w:rPr>
            </w:pPr>
            <w:r>
              <w:rPr>
                <w:b/>
              </w:rPr>
              <w:t>Minority Property Owners</w:t>
            </w:r>
          </w:p>
        </w:tc>
        <w:tc>
          <w:tcPr>
            <w:tcW w:w="1468" w:type="dxa"/>
            <w:vMerge w:val="restart"/>
          </w:tcPr>
          <w:p w14:paraId="6AD2D0F9" w14:textId="77777777" w:rsidR="006F46BF" w:rsidRDefault="00000000">
            <w:pPr>
              <w:keepNext/>
              <w:widowControl w:val="0"/>
              <w:spacing w:after="0" w:line="240" w:lineRule="auto"/>
              <w:jc w:val="center"/>
              <w:rPr>
                <w:b/>
              </w:rPr>
            </w:pPr>
            <w:r>
              <w:rPr>
                <w:b/>
              </w:rPr>
              <w:t>White Non-Hispanic</w:t>
            </w:r>
          </w:p>
        </w:tc>
      </w:tr>
      <w:tr w:rsidR="006F46BF" w14:paraId="2BCEBB49" w14:textId="77777777">
        <w:tc>
          <w:tcPr>
            <w:tcW w:w="1408" w:type="dxa"/>
            <w:vMerge/>
          </w:tcPr>
          <w:p w14:paraId="25883A8F" w14:textId="77777777" w:rsidR="006F46BF" w:rsidRDefault="006F46BF">
            <w:pPr>
              <w:keepNext/>
              <w:widowControl w:val="0"/>
              <w:spacing w:after="0" w:line="240" w:lineRule="auto"/>
              <w:jc w:val="center"/>
              <w:rPr>
                <w:b/>
              </w:rPr>
            </w:pPr>
          </w:p>
        </w:tc>
        <w:tc>
          <w:tcPr>
            <w:tcW w:w="809" w:type="dxa"/>
            <w:vMerge/>
          </w:tcPr>
          <w:p w14:paraId="763B3658" w14:textId="77777777" w:rsidR="006F46BF" w:rsidRDefault="006F46BF">
            <w:pPr>
              <w:keepNext/>
              <w:widowControl w:val="0"/>
              <w:spacing w:after="0" w:line="240" w:lineRule="auto"/>
              <w:jc w:val="center"/>
              <w:rPr>
                <w:b/>
              </w:rPr>
            </w:pPr>
          </w:p>
        </w:tc>
        <w:tc>
          <w:tcPr>
            <w:tcW w:w="1523" w:type="dxa"/>
          </w:tcPr>
          <w:p w14:paraId="58A0C93A" w14:textId="77777777" w:rsidR="006F46BF" w:rsidRDefault="00000000">
            <w:pPr>
              <w:keepNext/>
              <w:widowControl w:val="0"/>
              <w:jc w:val="center"/>
              <w:rPr>
                <w:b/>
              </w:rPr>
            </w:pPr>
            <w:r>
              <w:rPr>
                <w:b/>
              </w:rPr>
              <w:t>Alaskan Native or American Indian</w:t>
            </w:r>
          </w:p>
        </w:tc>
        <w:tc>
          <w:tcPr>
            <w:tcW w:w="1432" w:type="dxa"/>
          </w:tcPr>
          <w:p w14:paraId="2B548845" w14:textId="77777777" w:rsidR="006F46BF" w:rsidRDefault="00000000">
            <w:pPr>
              <w:keepNext/>
              <w:widowControl w:val="0"/>
              <w:ind w:right="-28"/>
              <w:jc w:val="center"/>
              <w:rPr>
                <w:b/>
              </w:rPr>
            </w:pPr>
            <w:r>
              <w:rPr>
                <w:b/>
              </w:rPr>
              <w:t>Asian or Pacific Islander</w:t>
            </w:r>
          </w:p>
        </w:tc>
        <w:tc>
          <w:tcPr>
            <w:tcW w:w="1468" w:type="dxa"/>
          </w:tcPr>
          <w:p w14:paraId="64FC7C81" w14:textId="77777777" w:rsidR="006F46BF" w:rsidRDefault="00000000">
            <w:pPr>
              <w:keepNext/>
              <w:widowControl w:val="0"/>
              <w:jc w:val="center"/>
              <w:rPr>
                <w:b/>
              </w:rPr>
            </w:pPr>
            <w:r>
              <w:rPr>
                <w:b/>
              </w:rPr>
              <w:t>Black Non-Hispanic</w:t>
            </w:r>
          </w:p>
        </w:tc>
        <w:tc>
          <w:tcPr>
            <w:tcW w:w="1468" w:type="dxa"/>
          </w:tcPr>
          <w:p w14:paraId="45415EF8" w14:textId="77777777" w:rsidR="006F46BF" w:rsidRDefault="00000000">
            <w:pPr>
              <w:keepNext/>
              <w:widowControl w:val="0"/>
              <w:jc w:val="center"/>
              <w:rPr>
                <w:b/>
              </w:rPr>
            </w:pPr>
            <w:r>
              <w:rPr>
                <w:b/>
              </w:rPr>
              <w:t>Hispanic</w:t>
            </w:r>
          </w:p>
        </w:tc>
        <w:tc>
          <w:tcPr>
            <w:tcW w:w="1468" w:type="dxa"/>
            <w:vMerge/>
          </w:tcPr>
          <w:p w14:paraId="77E51E77" w14:textId="77777777" w:rsidR="006F46BF" w:rsidRDefault="006F46BF">
            <w:pPr>
              <w:keepNext/>
              <w:widowControl w:val="0"/>
              <w:spacing w:after="0" w:line="240" w:lineRule="auto"/>
              <w:jc w:val="center"/>
              <w:rPr>
                <w:b/>
              </w:rPr>
            </w:pPr>
          </w:p>
        </w:tc>
      </w:tr>
      <w:tr w:rsidR="006F46BF" w14:paraId="12A55CD0" w14:textId="77777777">
        <w:trPr>
          <w:cantSplit/>
        </w:trPr>
        <w:tc>
          <w:tcPr>
            <w:tcW w:w="1411" w:type="dxa"/>
          </w:tcPr>
          <w:p w14:paraId="34F3A355" w14:textId="77777777" w:rsidR="006F46BF" w:rsidRDefault="00000000">
            <w:pPr>
              <w:spacing w:beforeAutospacing="1" w:afterAutospacing="1"/>
            </w:pPr>
            <w:r>
              <w:rPr>
                <w:color w:val="000000"/>
              </w:rPr>
              <w:t>Number</w:t>
            </w:r>
          </w:p>
        </w:tc>
        <w:tc>
          <w:tcPr>
            <w:tcW w:w="810" w:type="dxa"/>
            <w:vAlign w:val="bottom"/>
          </w:tcPr>
          <w:p w14:paraId="01CDB61F" w14:textId="77777777" w:rsidR="006F46BF" w:rsidRDefault="00000000">
            <w:pPr>
              <w:spacing w:beforeAutospacing="1" w:afterAutospacing="1"/>
              <w:jc w:val="right"/>
            </w:pPr>
            <w:r>
              <w:rPr>
                <w:color w:val="000000"/>
              </w:rPr>
              <w:t>0</w:t>
            </w:r>
          </w:p>
        </w:tc>
        <w:tc>
          <w:tcPr>
            <w:tcW w:w="1525" w:type="dxa"/>
            <w:vAlign w:val="bottom"/>
          </w:tcPr>
          <w:p w14:paraId="4BD06641" w14:textId="77777777" w:rsidR="006F46BF" w:rsidRDefault="00000000">
            <w:pPr>
              <w:spacing w:beforeAutospacing="1" w:afterAutospacing="1"/>
              <w:jc w:val="right"/>
            </w:pPr>
            <w:r>
              <w:rPr>
                <w:color w:val="000000"/>
              </w:rPr>
              <w:t>0</w:t>
            </w:r>
          </w:p>
        </w:tc>
        <w:tc>
          <w:tcPr>
            <w:tcW w:w="1434" w:type="dxa"/>
            <w:vAlign w:val="bottom"/>
          </w:tcPr>
          <w:p w14:paraId="14EF9ECA" w14:textId="77777777" w:rsidR="006F46BF" w:rsidRDefault="00000000">
            <w:pPr>
              <w:spacing w:beforeAutospacing="1" w:afterAutospacing="1"/>
              <w:jc w:val="right"/>
            </w:pPr>
            <w:r>
              <w:rPr>
                <w:color w:val="000000"/>
              </w:rPr>
              <w:t>0</w:t>
            </w:r>
          </w:p>
        </w:tc>
        <w:tc>
          <w:tcPr>
            <w:tcW w:w="1470" w:type="dxa"/>
            <w:vAlign w:val="bottom"/>
          </w:tcPr>
          <w:p w14:paraId="47AB6753" w14:textId="77777777" w:rsidR="006F46BF" w:rsidRDefault="00000000">
            <w:pPr>
              <w:spacing w:beforeAutospacing="1" w:afterAutospacing="1"/>
              <w:jc w:val="right"/>
            </w:pPr>
            <w:r>
              <w:rPr>
                <w:color w:val="000000"/>
              </w:rPr>
              <w:t>0</w:t>
            </w:r>
          </w:p>
        </w:tc>
        <w:tc>
          <w:tcPr>
            <w:tcW w:w="1470" w:type="dxa"/>
            <w:vAlign w:val="bottom"/>
          </w:tcPr>
          <w:p w14:paraId="15A7C0FC" w14:textId="77777777" w:rsidR="006F46BF" w:rsidRDefault="00000000">
            <w:pPr>
              <w:spacing w:beforeAutospacing="1" w:afterAutospacing="1"/>
              <w:jc w:val="right"/>
            </w:pPr>
            <w:r>
              <w:rPr>
                <w:color w:val="000000"/>
              </w:rPr>
              <w:t>0</w:t>
            </w:r>
          </w:p>
        </w:tc>
        <w:tc>
          <w:tcPr>
            <w:tcW w:w="1470" w:type="dxa"/>
            <w:vAlign w:val="bottom"/>
          </w:tcPr>
          <w:p w14:paraId="5FA33140" w14:textId="77777777" w:rsidR="006F46BF" w:rsidRDefault="00000000">
            <w:pPr>
              <w:spacing w:beforeAutospacing="1" w:afterAutospacing="1"/>
              <w:jc w:val="right"/>
            </w:pPr>
            <w:r>
              <w:rPr>
                <w:color w:val="000000"/>
              </w:rPr>
              <w:t>0</w:t>
            </w:r>
          </w:p>
        </w:tc>
      </w:tr>
      <w:tr w:rsidR="006F46BF" w14:paraId="408784FB" w14:textId="77777777">
        <w:trPr>
          <w:cantSplit/>
        </w:trPr>
        <w:tc>
          <w:tcPr>
            <w:tcW w:w="1411" w:type="dxa"/>
          </w:tcPr>
          <w:p w14:paraId="6CE65500" w14:textId="77777777" w:rsidR="006F46BF" w:rsidRDefault="00000000">
            <w:pPr>
              <w:spacing w:beforeAutospacing="1" w:afterAutospacing="1"/>
            </w:pPr>
            <w:r>
              <w:rPr>
                <w:color w:val="000000"/>
              </w:rPr>
              <w:t>Dollar Amount</w:t>
            </w:r>
          </w:p>
        </w:tc>
        <w:tc>
          <w:tcPr>
            <w:tcW w:w="810" w:type="dxa"/>
            <w:vAlign w:val="bottom"/>
          </w:tcPr>
          <w:p w14:paraId="5B57DF1A" w14:textId="77777777" w:rsidR="006F46BF" w:rsidRDefault="00000000">
            <w:pPr>
              <w:spacing w:beforeAutospacing="1" w:afterAutospacing="1"/>
              <w:jc w:val="right"/>
            </w:pPr>
            <w:r>
              <w:rPr>
                <w:color w:val="000000"/>
              </w:rPr>
              <w:t>0</w:t>
            </w:r>
          </w:p>
        </w:tc>
        <w:tc>
          <w:tcPr>
            <w:tcW w:w="1525" w:type="dxa"/>
            <w:vAlign w:val="bottom"/>
          </w:tcPr>
          <w:p w14:paraId="5516DD42" w14:textId="77777777" w:rsidR="006F46BF" w:rsidRDefault="00000000">
            <w:pPr>
              <w:spacing w:beforeAutospacing="1" w:afterAutospacing="1"/>
              <w:jc w:val="right"/>
            </w:pPr>
            <w:r>
              <w:rPr>
                <w:color w:val="000000"/>
              </w:rPr>
              <w:t>0</w:t>
            </w:r>
          </w:p>
        </w:tc>
        <w:tc>
          <w:tcPr>
            <w:tcW w:w="1434" w:type="dxa"/>
            <w:vAlign w:val="bottom"/>
          </w:tcPr>
          <w:p w14:paraId="69330DA2" w14:textId="77777777" w:rsidR="006F46BF" w:rsidRDefault="00000000">
            <w:pPr>
              <w:spacing w:beforeAutospacing="1" w:afterAutospacing="1"/>
              <w:jc w:val="right"/>
            </w:pPr>
            <w:r>
              <w:rPr>
                <w:color w:val="000000"/>
              </w:rPr>
              <w:t>0</w:t>
            </w:r>
          </w:p>
        </w:tc>
        <w:tc>
          <w:tcPr>
            <w:tcW w:w="1470" w:type="dxa"/>
            <w:vAlign w:val="bottom"/>
          </w:tcPr>
          <w:p w14:paraId="669EE5D4" w14:textId="77777777" w:rsidR="006F46BF" w:rsidRDefault="00000000">
            <w:pPr>
              <w:spacing w:beforeAutospacing="1" w:afterAutospacing="1"/>
              <w:jc w:val="right"/>
            </w:pPr>
            <w:r>
              <w:rPr>
                <w:color w:val="000000"/>
              </w:rPr>
              <w:t>0</w:t>
            </w:r>
          </w:p>
        </w:tc>
        <w:tc>
          <w:tcPr>
            <w:tcW w:w="1470" w:type="dxa"/>
            <w:vAlign w:val="bottom"/>
          </w:tcPr>
          <w:p w14:paraId="78E3D805" w14:textId="77777777" w:rsidR="006F46BF" w:rsidRDefault="00000000">
            <w:pPr>
              <w:spacing w:beforeAutospacing="1" w:afterAutospacing="1"/>
              <w:jc w:val="right"/>
            </w:pPr>
            <w:r>
              <w:rPr>
                <w:color w:val="000000"/>
              </w:rPr>
              <w:t>0</w:t>
            </w:r>
          </w:p>
        </w:tc>
        <w:tc>
          <w:tcPr>
            <w:tcW w:w="1470" w:type="dxa"/>
            <w:vAlign w:val="bottom"/>
          </w:tcPr>
          <w:p w14:paraId="57E32822" w14:textId="77777777" w:rsidR="006F46BF" w:rsidRDefault="00000000">
            <w:pPr>
              <w:spacing w:beforeAutospacing="1" w:afterAutospacing="1"/>
              <w:jc w:val="right"/>
            </w:pPr>
            <w:r>
              <w:rPr>
                <w:color w:val="000000"/>
              </w:rPr>
              <w:t>0</w:t>
            </w:r>
          </w:p>
        </w:tc>
      </w:tr>
    </w:tbl>
    <w:p w14:paraId="2A0568DA" w14:textId="77777777" w:rsidR="006F46BF" w:rsidRDefault="00000000">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9</w:t>
      </w:r>
      <w:r>
        <w:rPr>
          <w:rFonts w:asciiTheme="minorHAnsi" w:hAnsiTheme="minorHAnsi"/>
        </w:rPr>
        <w:fldChar w:fldCharType="end"/>
      </w:r>
      <w:r>
        <w:rPr>
          <w:rFonts w:asciiTheme="minorHAnsi" w:hAnsiTheme="minorHAnsi"/>
        </w:rPr>
        <w:t xml:space="preserve"> – Minority Owners of Rental Property</w:t>
      </w:r>
    </w:p>
    <w:p w14:paraId="2C943A9A" w14:textId="77777777" w:rsidR="006F46BF" w:rsidRDefault="006F46BF">
      <w:pPr>
        <w:widowControl w:val="0"/>
        <w:spacing w:line="204" w:lineRule="auto"/>
        <w:rPr>
          <w:b/>
          <w:sz w:val="24"/>
          <w:szCs w:val="24"/>
        </w:rPr>
      </w:pP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6F46BF" w14:paraId="0231ECD7" w14:textId="77777777">
        <w:tc>
          <w:tcPr>
            <w:tcW w:w="13176" w:type="dxa"/>
          </w:tcPr>
          <w:p w14:paraId="4D9903C1" w14:textId="77777777" w:rsidR="006F46BF" w:rsidRDefault="00000000">
            <w:pPr>
              <w:keepNext/>
              <w:widowControl w:val="0"/>
              <w:spacing w:after="0" w:line="240" w:lineRule="auto"/>
              <w:rPr>
                <w:b/>
              </w:rPr>
            </w:pPr>
            <w:r>
              <w:rPr>
                <w:b/>
              </w:rPr>
              <w:lastRenderedPageBreak/>
              <w:t xml:space="preserve">Relocation and Real Property Acquisition – </w:t>
            </w:r>
            <w:r>
              <w:t>Indicate the number of persons displaced, the cost of relocation payments, the number of parcels acquired, and the cost of acquisition</w:t>
            </w:r>
          </w:p>
        </w:tc>
      </w:tr>
    </w:tbl>
    <w:p w14:paraId="5057B2E5" w14:textId="77777777" w:rsidR="006F46BF" w:rsidRDefault="006F46BF">
      <w:pPr>
        <w:keepNext/>
        <w:widowControl w:val="0"/>
        <w:spacing w:after="0" w:line="240" w:lineRule="auto"/>
        <w:rPr>
          <w:b/>
          <w:vanish/>
          <w:sz w:val="24"/>
          <w:szCs w:val="24"/>
        </w:rPr>
      </w:pPr>
    </w:p>
    <w:tbl>
      <w:tblPr>
        <w:tblW w:w="3423"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081"/>
        <w:gridCol w:w="1660"/>
        <w:gridCol w:w="1660"/>
      </w:tblGrid>
      <w:tr w:rsidR="006F46BF" w14:paraId="58C1177E" w14:textId="77777777">
        <w:trPr>
          <w:cantSplit/>
          <w:hidden/>
        </w:trPr>
        <w:tc>
          <w:tcPr>
            <w:tcW w:w="4392" w:type="dxa"/>
          </w:tcPr>
          <w:p w14:paraId="4F76DD46" w14:textId="77777777" w:rsidR="006F46BF" w:rsidRDefault="006F46BF">
            <w:pPr>
              <w:keepNext/>
              <w:widowControl w:val="0"/>
              <w:spacing w:after="0" w:line="240" w:lineRule="auto"/>
              <w:rPr>
                <w:b/>
                <w:vanish/>
              </w:rPr>
            </w:pPr>
          </w:p>
        </w:tc>
        <w:tc>
          <w:tcPr>
            <w:tcW w:w="2314" w:type="dxa"/>
          </w:tcPr>
          <w:p w14:paraId="1E13AE5C" w14:textId="77777777" w:rsidR="006F46BF" w:rsidRDefault="00000000">
            <w:pPr>
              <w:keepNext/>
              <w:widowControl w:val="0"/>
              <w:spacing w:after="0" w:line="240" w:lineRule="auto"/>
              <w:jc w:val="center"/>
              <w:rPr>
                <w:b/>
                <w:vanish/>
              </w:rPr>
            </w:pPr>
            <w:r>
              <w:rPr>
                <w:b/>
                <w:vanish/>
              </w:rPr>
              <w:t>Number</w:t>
            </w:r>
          </w:p>
        </w:tc>
        <w:tc>
          <w:tcPr>
            <w:tcW w:w="2314" w:type="dxa"/>
          </w:tcPr>
          <w:p w14:paraId="7414B06C" w14:textId="77777777" w:rsidR="006F46BF" w:rsidRDefault="00000000">
            <w:pPr>
              <w:keepNext/>
              <w:widowControl w:val="0"/>
              <w:spacing w:after="0" w:line="240" w:lineRule="auto"/>
              <w:jc w:val="center"/>
              <w:rPr>
                <w:b/>
                <w:vanish/>
              </w:rPr>
            </w:pPr>
            <w:r>
              <w:rPr>
                <w:b/>
                <w:vanish/>
              </w:rPr>
              <w:t>Cost</w:t>
            </w:r>
          </w:p>
        </w:tc>
      </w:tr>
      <w:tr w:rsidR="006F46BF" w14:paraId="3458433B" w14:textId="77777777">
        <w:trPr>
          <w:cantSplit/>
        </w:trPr>
        <w:tc>
          <w:tcPr>
            <w:tcW w:w="3163" w:type="dxa"/>
          </w:tcPr>
          <w:p w14:paraId="02AF2B26" w14:textId="77777777" w:rsidR="006F46BF" w:rsidRDefault="00000000">
            <w:pPr>
              <w:spacing w:beforeAutospacing="1" w:afterAutospacing="1"/>
            </w:pPr>
            <w:r>
              <w:rPr>
                <w:color w:val="000000"/>
              </w:rPr>
              <w:t>Parcels Acquired</w:t>
            </w:r>
          </w:p>
        </w:tc>
        <w:tc>
          <w:tcPr>
            <w:tcW w:w="1701" w:type="dxa"/>
            <w:vAlign w:val="bottom"/>
          </w:tcPr>
          <w:p w14:paraId="1516F346" w14:textId="77777777" w:rsidR="006F46BF" w:rsidRDefault="00000000">
            <w:pPr>
              <w:spacing w:beforeAutospacing="1" w:afterAutospacing="1"/>
              <w:jc w:val="right"/>
            </w:pPr>
            <w:r>
              <w:rPr>
                <w:color w:val="000000"/>
              </w:rPr>
              <w:t>0</w:t>
            </w:r>
          </w:p>
        </w:tc>
        <w:tc>
          <w:tcPr>
            <w:tcW w:w="1701" w:type="dxa"/>
            <w:vAlign w:val="bottom"/>
          </w:tcPr>
          <w:p w14:paraId="2C7F8D30" w14:textId="77777777" w:rsidR="006F46BF" w:rsidRDefault="00000000">
            <w:pPr>
              <w:spacing w:beforeAutospacing="1" w:afterAutospacing="1"/>
              <w:jc w:val="right"/>
            </w:pPr>
            <w:r>
              <w:rPr>
                <w:color w:val="000000"/>
              </w:rPr>
              <w:t>0</w:t>
            </w:r>
          </w:p>
        </w:tc>
      </w:tr>
      <w:tr w:rsidR="006F46BF" w14:paraId="5770D67F" w14:textId="77777777">
        <w:trPr>
          <w:cantSplit/>
        </w:trPr>
        <w:tc>
          <w:tcPr>
            <w:tcW w:w="3163" w:type="dxa"/>
          </w:tcPr>
          <w:p w14:paraId="3917EB47" w14:textId="77777777" w:rsidR="006F46BF" w:rsidRDefault="00000000">
            <w:pPr>
              <w:spacing w:beforeAutospacing="1" w:afterAutospacing="1"/>
            </w:pPr>
            <w:r>
              <w:rPr>
                <w:color w:val="000000"/>
              </w:rPr>
              <w:t>Businesses Displaced</w:t>
            </w:r>
          </w:p>
        </w:tc>
        <w:tc>
          <w:tcPr>
            <w:tcW w:w="1701" w:type="dxa"/>
            <w:vAlign w:val="bottom"/>
          </w:tcPr>
          <w:p w14:paraId="65A9C926" w14:textId="77777777" w:rsidR="006F46BF" w:rsidRDefault="00000000">
            <w:pPr>
              <w:spacing w:beforeAutospacing="1" w:afterAutospacing="1"/>
              <w:jc w:val="right"/>
            </w:pPr>
            <w:r>
              <w:rPr>
                <w:color w:val="000000"/>
              </w:rPr>
              <w:t>0</w:t>
            </w:r>
          </w:p>
        </w:tc>
        <w:tc>
          <w:tcPr>
            <w:tcW w:w="1701" w:type="dxa"/>
            <w:vAlign w:val="bottom"/>
          </w:tcPr>
          <w:p w14:paraId="3D96A626" w14:textId="77777777" w:rsidR="006F46BF" w:rsidRDefault="00000000">
            <w:pPr>
              <w:spacing w:beforeAutospacing="1" w:afterAutospacing="1"/>
              <w:jc w:val="right"/>
            </w:pPr>
            <w:r>
              <w:rPr>
                <w:color w:val="000000"/>
              </w:rPr>
              <w:t>0</w:t>
            </w:r>
          </w:p>
        </w:tc>
      </w:tr>
      <w:tr w:rsidR="006F46BF" w14:paraId="53C40BE8" w14:textId="77777777">
        <w:trPr>
          <w:cantSplit/>
        </w:trPr>
        <w:tc>
          <w:tcPr>
            <w:tcW w:w="3163" w:type="dxa"/>
          </w:tcPr>
          <w:p w14:paraId="1EE1A60C" w14:textId="77777777" w:rsidR="006F46BF" w:rsidRDefault="00000000">
            <w:pPr>
              <w:spacing w:beforeAutospacing="1" w:afterAutospacing="1"/>
            </w:pPr>
            <w:r>
              <w:rPr>
                <w:color w:val="000000"/>
              </w:rPr>
              <w:t>Nonprofit Organizations Displaced</w:t>
            </w:r>
          </w:p>
        </w:tc>
        <w:tc>
          <w:tcPr>
            <w:tcW w:w="1701" w:type="dxa"/>
            <w:vAlign w:val="bottom"/>
          </w:tcPr>
          <w:p w14:paraId="51ABE104" w14:textId="77777777" w:rsidR="006F46BF" w:rsidRDefault="00000000">
            <w:pPr>
              <w:spacing w:beforeAutospacing="1" w:afterAutospacing="1"/>
              <w:jc w:val="right"/>
            </w:pPr>
            <w:r>
              <w:rPr>
                <w:color w:val="000000"/>
              </w:rPr>
              <w:t>0</w:t>
            </w:r>
          </w:p>
        </w:tc>
        <w:tc>
          <w:tcPr>
            <w:tcW w:w="1701" w:type="dxa"/>
            <w:vAlign w:val="bottom"/>
          </w:tcPr>
          <w:p w14:paraId="49E43B4E" w14:textId="77777777" w:rsidR="006F46BF" w:rsidRDefault="00000000">
            <w:pPr>
              <w:spacing w:beforeAutospacing="1" w:afterAutospacing="1"/>
              <w:jc w:val="right"/>
            </w:pPr>
            <w:r>
              <w:rPr>
                <w:color w:val="000000"/>
              </w:rPr>
              <w:t>0</w:t>
            </w:r>
          </w:p>
        </w:tc>
      </w:tr>
      <w:tr w:rsidR="006F46BF" w14:paraId="49C629AF" w14:textId="77777777">
        <w:trPr>
          <w:cantSplit/>
        </w:trPr>
        <w:tc>
          <w:tcPr>
            <w:tcW w:w="3163" w:type="dxa"/>
          </w:tcPr>
          <w:p w14:paraId="2309A4B1" w14:textId="77777777" w:rsidR="006F46BF" w:rsidRDefault="00000000">
            <w:pPr>
              <w:spacing w:beforeAutospacing="1" w:afterAutospacing="1"/>
            </w:pPr>
            <w:r>
              <w:rPr>
                <w:color w:val="000000"/>
              </w:rPr>
              <w:t>Households Temporarily Relocated, not Displaced</w:t>
            </w:r>
          </w:p>
        </w:tc>
        <w:tc>
          <w:tcPr>
            <w:tcW w:w="1701" w:type="dxa"/>
            <w:vAlign w:val="bottom"/>
          </w:tcPr>
          <w:p w14:paraId="43FFD2DF" w14:textId="77777777" w:rsidR="006F46BF" w:rsidRDefault="00000000">
            <w:pPr>
              <w:spacing w:beforeAutospacing="1" w:afterAutospacing="1"/>
              <w:jc w:val="right"/>
            </w:pPr>
            <w:r>
              <w:rPr>
                <w:color w:val="000000"/>
              </w:rPr>
              <w:t>0</w:t>
            </w:r>
          </w:p>
        </w:tc>
        <w:tc>
          <w:tcPr>
            <w:tcW w:w="1701" w:type="dxa"/>
            <w:vAlign w:val="bottom"/>
          </w:tcPr>
          <w:p w14:paraId="4849942C" w14:textId="77777777" w:rsidR="006F46BF" w:rsidRDefault="00000000">
            <w:pPr>
              <w:spacing w:beforeAutospacing="1" w:afterAutospacing="1"/>
              <w:jc w:val="right"/>
            </w:pPr>
            <w:r>
              <w:rPr>
                <w:color w:val="000000"/>
              </w:rPr>
              <w:t>0</w:t>
            </w:r>
          </w:p>
        </w:tc>
      </w:tr>
    </w:tbl>
    <w:p w14:paraId="523A0646" w14:textId="77777777" w:rsidR="006F46BF" w:rsidRDefault="006F46BF">
      <w:pPr>
        <w:widowControl w:val="0"/>
        <w:spacing w:after="0" w:line="240" w:lineRule="auto"/>
        <w:rPr>
          <w:b/>
          <w:vanish/>
          <w:sz w:val="24"/>
          <w:szCs w:val="24"/>
        </w:rPr>
      </w:pP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533"/>
        <w:gridCol w:w="784"/>
        <w:gridCol w:w="1459"/>
        <w:gridCol w:w="1366"/>
        <w:gridCol w:w="1403"/>
        <w:gridCol w:w="1402"/>
        <w:gridCol w:w="1403"/>
      </w:tblGrid>
      <w:tr w:rsidR="006F46BF" w14:paraId="236720D5" w14:textId="77777777">
        <w:trPr>
          <w:cantSplit/>
        </w:trPr>
        <w:tc>
          <w:tcPr>
            <w:tcW w:w="1572" w:type="dxa"/>
            <w:vMerge w:val="restart"/>
          </w:tcPr>
          <w:p w14:paraId="170F9442" w14:textId="77777777" w:rsidR="006F46BF" w:rsidRDefault="00000000">
            <w:pPr>
              <w:keepNext/>
              <w:widowControl w:val="0"/>
              <w:spacing w:after="0" w:line="240" w:lineRule="auto"/>
              <w:jc w:val="center"/>
              <w:rPr>
                <w:b/>
              </w:rPr>
            </w:pPr>
            <w:r>
              <w:rPr>
                <w:b/>
              </w:rPr>
              <w:t>Households Displaced</w:t>
            </w:r>
          </w:p>
        </w:tc>
        <w:tc>
          <w:tcPr>
            <w:tcW w:w="800" w:type="dxa"/>
            <w:vMerge w:val="restart"/>
          </w:tcPr>
          <w:p w14:paraId="4BB75FDF" w14:textId="77777777" w:rsidR="006F46BF" w:rsidRDefault="00000000">
            <w:pPr>
              <w:keepNext/>
              <w:widowControl w:val="0"/>
              <w:spacing w:after="0" w:line="240" w:lineRule="auto"/>
              <w:jc w:val="center"/>
              <w:rPr>
                <w:b/>
              </w:rPr>
            </w:pPr>
            <w:r>
              <w:rPr>
                <w:b/>
              </w:rPr>
              <w:t>Total</w:t>
            </w:r>
          </w:p>
        </w:tc>
        <w:tc>
          <w:tcPr>
            <w:tcW w:w="5767" w:type="dxa"/>
            <w:gridSpan w:val="4"/>
          </w:tcPr>
          <w:p w14:paraId="54E5DB2E" w14:textId="77777777" w:rsidR="006F46BF" w:rsidRDefault="00000000">
            <w:pPr>
              <w:keepNext/>
              <w:widowControl w:val="0"/>
              <w:spacing w:after="0" w:line="240" w:lineRule="auto"/>
              <w:jc w:val="center"/>
              <w:rPr>
                <w:b/>
              </w:rPr>
            </w:pPr>
            <w:r>
              <w:rPr>
                <w:b/>
              </w:rPr>
              <w:t>Minority Property Enterprises</w:t>
            </w:r>
          </w:p>
        </w:tc>
        <w:tc>
          <w:tcPr>
            <w:tcW w:w="1437" w:type="dxa"/>
            <w:vMerge w:val="restart"/>
          </w:tcPr>
          <w:p w14:paraId="11166681" w14:textId="77777777" w:rsidR="006F46BF" w:rsidRDefault="00000000">
            <w:pPr>
              <w:keepNext/>
              <w:widowControl w:val="0"/>
              <w:spacing w:after="0" w:line="240" w:lineRule="auto"/>
              <w:jc w:val="center"/>
              <w:rPr>
                <w:b/>
              </w:rPr>
            </w:pPr>
            <w:r>
              <w:rPr>
                <w:b/>
              </w:rPr>
              <w:t>White Non-Hispanic</w:t>
            </w:r>
          </w:p>
        </w:tc>
      </w:tr>
      <w:tr w:rsidR="006F46BF" w14:paraId="4CC5E4D6" w14:textId="77777777">
        <w:trPr>
          <w:cantSplit/>
        </w:trPr>
        <w:tc>
          <w:tcPr>
            <w:tcW w:w="1572" w:type="dxa"/>
            <w:vMerge/>
          </w:tcPr>
          <w:p w14:paraId="4663472C" w14:textId="77777777" w:rsidR="006F46BF" w:rsidRDefault="006F46BF">
            <w:pPr>
              <w:keepNext/>
              <w:widowControl w:val="0"/>
              <w:spacing w:after="0" w:line="240" w:lineRule="auto"/>
              <w:jc w:val="center"/>
              <w:rPr>
                <w:b/>
              </w:rPr>
            </w:pPr>
          </w:p>
        </w:tc>
        <w:tc>
          <w:tcPr>
            <w:tcW w:w="800" w:type="dxa"/>
            <w:vMerge/>
          </w:tcPr>
          <w:p w14:paraId="69AE3ADF" w14:textId="77777777" w:rsidR="006F46BF" w:rsidRDefault="006F46BF">
            <w:pPr>
              <w:keepNext/>
              <w:widowControl w:val="0"/>
              <w:spacing w:after="0" w:line="240" w:lineRule="auto"/>
              <w:jc w:val="center"/>
              <w:rPr>
                <w:b/>
              </w:rPr>
            </w:pPr>
          </w:p>
        </w:tc>
        <w:tc>
          <w:tcPr>
            <w:tcW w:w="1495" w:type="dxa"/>
          </w:tcPr>
          <w:p w14:paraId="5C157FAF" w14:textId="77777777" w:rsidR="006F46BF" w:rsidRDefault="00000000">
            <w:pPr>
              <w:keepNext/>
              <w:widowControl w:val="0"/>
              <w:jc w:val="center"/>
              <w:rPr>
                <w:b/>
              </w:rPr>
            </w:pPr>
            <w:r>
              <w:rPr>
                <w:b/>
              </w:rPr>
              <w:t>Alaskan Native or American Indian</w:t>
            </w:r>
          </w:p>
        </w:tc>
        <w:tc>
          <w:tcPr>
            <w:tcW w:w="1399" w:type="dxa"/>
          </w:tcPr>
          <w:p w14:paraId="3FD05463" w14:textId="77777777" w:rsidR="006F46BF" w:rsidRDefault="00000000">
            <w:pPr>
              <w:keepNext/>
              <w:widowControl w:val="0"/>
              <w:ind w:right="-28"/>
              <w:jc w:val="center"/>
              <w:rPr>
                <w:b/>
              </w:rPr>
            </w:pPr>
            <w:r>
              <w:rPr>
                <w:b/>
              </w:rPr>
              <w:t>Asian or Pacific Islander</w:t>
            </w:r>
          </w:p>
        </w:tc>
        <w:tc>
          <w:tcPr>
            <w:tcW w:w="1437" w:type="dxa"/>
          </w:tcPr>
          <w:p w14:paraId="36421E73" w14:textId="77777777" w:rsidR="006F46BF" w:rsidRDefault="00000000">
            <w:pPr>
              <w:keepNext/>
              <w:widowControl w:val="0"/>
              <w:jc w:val="center"/>
              <w:rPr>
                <w:b/>
              </w:rPr>
            </w:pPr>
            <w:r>
              <w:rPr>
                <w:b/>
              </w:rPr>
              <w:t>Black Non-Hispanic</w:t>
            </w:r>
          </w:p>
        </w:tc>
        <w:tc>
          <w:tcPr>
            <w:tcW w:w="1436" w:type="dxa"/>
          </w:tcPr>
          <w:p w14:paraId="2196FC5E" w14:textId="77777777" w:rsidR="006F46BF" w:rsidRDefault="00000000">
            <w:pPr>
              <w:keepNext/>
              <w:widowControl w:val="0"/>
              <w:jc w:val="center"/>
              <w:rPr>
                <w:b/>
              </w:rPr>
            </w:pPr>
            <w:r>
              <w:rPr>
                <w:b/>
              </w:rPr>
              <w:t>Hispanic</w:t>
            </w:r>
          </w:p>
        </w:tc>
        <w:tc>
          <w:tcPr>
            <w:tcW w:w="1437" w:type="dxa"/>
            <w:vMerge/>
          </w:tcPr>
          <w:p w14:paraId="385C6CC7" w14:textId="77777777" w:rsidR="006F46BF" w:rsidRDefault="006F46BF">
            <w:pPr>
              <w:keepNext/>
              <w:widowControl w:val="0"/>
              <w:spacing w:after="0" w:line="240" w:lineRule="auto"/>
              <w:jc w:val="center"/>
              <w:rPr>
                <w:b/>
              </w:rPr>
            </w:pPr>
          </w:p>
        </w:tc>
      </w:tr>
      <w:tr w:rsidR="006F46BF" w14:paraId="5438F2B4" w14:textId="77777777">
        <w:trPr>
          <w:cantSplit/>
        </w:trPr>
        <w:tc>
          <w:tcPr>
            <w:tcW w:w="1575" w:type="dxa"/>
          </w:tcPr>
          <w:p w14:paraId="5EE8B7B6" w14:textId="77777777" w:rsidR="006F46BF" w:rsidRDefault="00000000">
            <w:pPr>
              <w:spacing w:beforeAutospacing="1" w:afterAutospacing="1"/>
            </w:pPr>
            <w:r>
              <w:rPr>
                <w:color w:val="000000"/>
              </w:rPr>
              <w:t>Number</w:t>
            </w:r>
          </w:p>
        </w:tc>
        <w:tc>
          <w:tcPr>
            <w:tcW w:w="801" w:type="dxa"/>
            <w:vAlign w:val="bottom"/>
          </w:tcPr>
          <w:p w14:paraId="20DCB662" w14:textId="77777777" w:rsidR="006F46BF" w:rsidRDefault="00000000">
            <w:pPr>
              <w:spacing w:beforeAutospacing="1" w:afterAutospacing="1"/>
              <w:jc w:val="right"/>
            </w:pPr>
            <w:r>
              <w:rPr>
                <w:color w:val="000000"/>
              </w:rPr>
              <w:t>0</w:t>
            </w:r>
          </w:p>
        </w:tc>
        <w:tc>
          <w:tcPr>
            <w:tcW w:w="1497" w:type="dxa"/>
            <w:vAlign w:val="bottom"/>
          </w:tcPr>
          <w:p w14:paraId="4E4D8B58" w14:textId="77777777" w:rsidR="006F46BF" w:rsidRDefault="00000000">
            <w:pPr>
              <w:spacing w:beforeAutospacing="1" w:afterAutospacing="1"/>
              <w:jc w:val="right"/>
            </w:pPr>
            <w:r>
              <w:rPr>
                <w:color w:val="000000"/>
              </w:rPr>
              <w:t>0</w:t>
            </w:r>
          </w:p>
        </w:tc>
        <w:tc>
          <w:tcPr>
            <w:tcW w:w="1401" w:type="dxa"/>
            <w:vAlign w:val="bottom"/>
          </w:tcPr>
          <w:p w14:paraId="0FE77C39" w14:textId="77777777" w:rsidR="006F46BF" w:rsidRDefault="00000000">
            <w:pPr>
              <w:spacing w:beforeAutospacing="1" w:afterAutospacing="1"/>
              <w:jc w:val="right"/>
            </w:pPr>
            <w:r>
              <w:rPr>
                <w:color w:val="000000"/>
              </w:rPr>
              <w:t>0</w:t>
            </w:r>
          </w:p>
        </w:tc>
        <w:tc>
          <w:tcPr>
            <w:tcW w:w="1439" w:type="dxa"/>
            <w:vAlign w:val="bottom"/>
          </w:tcPr>
          <w:p w14:paraId="3E955499" w14:textId="77777777" w:rsidR="006F46BF" w:rsidRDefault="00000000">
            <w:pPr>
              <w:spacing w:beforeAutospacing="1" w:afterAutospacing="1"/>
              <w:jc w:val="right"/>
            </w:pPr>
            <w:r>
              <w:rPr>
                <w:color w:val="000000"/>
              </w:rPr>
              <w:t>0</w:t>
            </w:r>
          </w:p>
        </w:tc>
        <w:tc>
          <w:tcPr>
            <w:tcW w:w="1438" w:type="dxa"/>
            <w:vAlign w:val="bottom"/>
          </w:tcPr>
          <w:p w14:paraId="01DB4CC6" w14:textId="77777777" w:rsidR="006F46BF" w:rsidRDefault="00000000">
            <w:pPr>
              <w:spacing w:beforeAutospacing="1" w:afterAutospacing="1"/>
              <w:jc w:val="right"/>
            </w:pPr>
            <w:r>
              <w:rPr>
                <w:color w:val="000000"/>
              </w:rPr>
              <w:t>0</w:t>
            </w:r>
          </w:p>
        </w:tc>
        <w:tc>
          <w:tcPr>
            <w:tcW w:w="1439" w:type="dxa"/>
            <w:vAlign w:val="bottom"/>
          </w:tcPr>
          <w:p w14:paraId="551CFD94" w14:textId="77777777" w:rsidR="006F46BF" w:rsidRDefault="00000000">
            <w:pPr>
              <w:spacing w:beforeAutospacing="1" w:afterAutospacing="1"/>
              <w:jc w:val="right"/>
            </w:pPr>
            <w:r>
              <w:rPr>
                <w:color w:val="000000"/>
              </w:rPr>
              <w:t>0</w:t>
            </w:r>
          </w:p>
        </w:tc>
      </w:tr>
      <w:tr w:rsidR="006F46BF" w14:paraId="09B55FB7" w14:textId="77777777">
        <w:trPr>
          <w:cantSplit/>
        </w:trPr>
        <w:tc>
          <w:tcPr>
            <w:tcW w:w="1575" w:type="dxa"/>
          </w:tcPr>
          <w:p w14:paraId="27C3CF5D" w14:textId="77777777" w:rsidR="006F46BF" w:rsidRDefault="00000000">
            <w:pPr>
              <w:spacing w:beforeAutospacing="1" w:afterAutospacing="1"/>
            </w:pPr>
            <w:r>
              <w:rPr>
                <w:color w:val="000000"/>
              </w:rPr>
              <w:t>Cost</w:t>
            </w:r>
          </w:p>
        </w:tc>
        <w:tc>
          <w:tcPr>
            <w:tcW w:w="801" w:type="dxa"/>
            <w:vAlign w:val="bottom"/>
          </w:tcPr>
          <w:p w14:paraId="1DF6F2D0" w14:textId="77777777" w:rsidR="006F46BF" w:rsidRDefault="00000000">
            <w:pPr>
              <w:spacing w:beforeAutospacing="1" w:afterAutospacing="1"/>
              <w:jc w:val="right"/>
            </w:pPr>
            <w:r>
              <w:rPr>
                <w:color w:val="000000"/>
              </w:rPr>
              <w:t>0</w:t>
            </w:r>
          </w:p>
        </w:tc>
        <w:tc>
          <w:tcPr>
            <w:tcW w:w="1497" w:type="dxa"/>
            <w:vAlign w:val="bottom"/>
          </w:tcPr>
          <w:p w14:paraId="25CDC8BE" w14:textId="77777777" w:rsidR="006F46BF" w:rsidRDefault="00000000">
            <w:pPr>
              <w:spacing w:beforeAutospacing="1" w:afterAutospacing="1"/>
              <w:jc w:val="right"/>
            </w:pPr>
            <w:r>
              <w:rPr>
                <w:color w:val="000000"/>
              </w:rPr>
              <w:t>0</w:t>
            </w:r>
          </w:p>
        </w:tc>
        <w:tc>
          <w:tcPr>
            <w:tcW w:w="1401" w:type="dxa"/>
            <w:vAlign w:val="bottom"/>
          </w:tcPr>
          <w:p w14:paraId="629AD6D2" w14:textId="77777777" w:rsidR="006F46BF" w:rsidRDefault="00000000">
            <w:pPr>
              <w:spacing w:beforeAutospacing="1" w:afterAutospacing="1"/>
              <w:jc w:val="right"/>
            </w:pPr>
            <w:r>
              <w:rPr>
                <w:color w:val="000000"/>
              </w:rPr>
              <w:t>0</w:t>
            </w:r>
          </w:p>
        </w:tc>
        <w:tc>
          <w:tcPr>
            <w:tcW w:w="1439" w:type="dxa"/>
            <w:vAlign w:val="bottom"/>
          </w:tcPr>
          <w:p w14:paraId="69302029" w14:textId="77777777" w:rsidR="006F46BF" w:rsidRDefault="00000000">
            <w:pPr>
              <w:spacing w:beforeAutospacing="1" w:afterAutospacing="1"/>
              <w:jc w:val="right"/>
            </w:pPr>
            <w:r>
              <w:rPr>
                <w:color w:val="000000"/>
              </w:rPr>
              <w:t>0</w:t>
            </w:r>
          </w:p>
        </w:tc>
        <w:tc>
          <w:tcPr>
            <w:tcW w:w="1438" w:type="dxa"/>
            <w:vAlign w:val="bottom"/>
          </w:tcPr>
          <w:p w14:paraId="764EB7FB" w14:textId="77777777" w:rsidR="006F46BF" w:rsidRDefault="00000000">
            <w:pPr>
              <w:spacing w:beforeAutospacing="1" w:afterAutospacing="1"/>
              <w:jc w:val="right"/>
            </w:pPr>
            <w:r>
              <w:rPr>
                <w:color w:val="000000"/>
              </w:rPr>
              <w:t>0</w:t>
            </w:r>
          </w:p>
        </w:tc>
        <w:tc>
          <w:tcPr>
            <w:tcW w:w="1439" w:type="dxa"/>
            <w:vAlign w:val="bottom"/>
          </w:tcPr>
          <w:p w14:paraId="44F51863" w14:textId="77777777" w:rsidR="006F46BF" w:rsidRDefault="00000000">
            <w:pPr>
              <w:spacing w:beforeAutospacing="1" w:afterAutospacing="1"/>
              <w:jc w:val="right"/>
            </w:pPr>
            <w:r>
              <w:rPr>
                <w:color w:val="000000"/>
              </w:rPr>
              <w:t>0</w:t>
            </w:r>
          </w:p>
        </w:tc>
      </w:tr>
    </w:tbl>
    <w:p w14:paraId="0E25A97A" w14:textId="77777777" w:rsidR="006F46BF" w:rsidRDefault="00000000">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10</w:t>
      </w:r>
      <w:r>
        <w:rPr>
          <w:rFonts w:asciiTheme="minorHAnsi" w:hAnsiTheme="minorHAnsi"/>
        </w:rPr>
        <w:fldChar w:fldCharType="end"/>
      </w:r>
      <w:r>
        <w:rPr>
          <w:rFonts w:asciiTheme="minorHAnsi" w:hAnsiTheme="minorHAnsi"/>
        </w:rPr>
        <w:t xml:space="preserve"> – Relocation and Real Property Acquisition</w:t>
      </w:r>
    </w:p>
    <w:p w14:paraId="55E3776C" w14:textId="77777777" w:rsidR="006F46BF" w:rsidRDefault="006F46BF">
      <w:pPr>
        <w:spacing w:after="0" w:line="240" w:lineRule="auto"/>
        <w:rPr>
          <w:b/>
        </w:rPr>
      </w:pPr>
    </w:p>
    <w:p w14:paraId="12695CBA" w14:textId="77777777" w:rsidR="006F46BF" w:rsidRDefault="006F46BF">
      <w:pPr>
        <w:spacing w:after="0" w:line="240" w:lineRule="auto"/>
        <w:rPr>
          <w:b/>
        </w:rPr>
      </w:pPr>
    </w:p>
    <w:p w14:paraId="6F171406" w14:textId="77777777" w:rsidR="006F46BF" w:rsidRDefault="006F46BF">
      <w:pPr>
        <w:widowControl w:val="0"/>
        <w:spacing w:after="0" w:line="240" w:lineRule="auto"/>
        <w:rPr>
          <w:sz w:val="24"/>
          <w:szCs w:val="24"/>
        </w:rPr>
      </w:pPr>
    </w:p>
    <w:p w14:paraId="63681CD1" w14:textId="77777777" w:rsidR="006F46BF" w:rsidRDefault="006F46BF">
      <w:pPr>
        <w:spacing w:after="0" w:line="240" w:lineRule="auto"/>
      </w:pPr>
      <w:bookmarkStart w:id="1" w:name="_Toc309810475"/>
    </w:p>
    <w:p w14:paraId="2C267AD5" w14:textId="77777777" w:rsidR="006F46BF" w:rsidRDefault="006F46BF">
      <w:pPr>
        <w:sectPr w:rsidR="006F46BF">
          <w:pgSz w:w="12240" w:h="15840" w:code="1"/>
          <w:pgMar w:top="1440" w:right="1440" w:bottom="1440" w:left="1440" w:header="720" w:footer="720" w:gutter="0"/>
          <w:cols w:space="720"/>
          <w:docGrid w:linePitch="360"/>
        </w:sectPr>
      </w:pPr>
    </w:p>
    <w:p w14:paraId="5B430F59" w14:textId="77777777" w:rsidR="006F46BF" w:rsidRDefault="00000000">
      <w:pPr>
        <w:pStyle w:val="Heading2"/>
        <w:rPr>
          <w:rFonts w:ascii="Calibri" w:hAnsi="Calibri"/>
          <w:i w:val="0"/>
        </w:rPr>
      </w:pPr>
      <w:r>
        <w:rPr>
          <w:rFonts w:ascii="Calibri" w:hAnsi="Calibri"/>
          <w:i w:val="0"/>
        </w:rPr>
        <w:lastRenderedPageBreak/>
        <w:t>CR-20 - Affordable Housing 91.520(b)</w:t>
      </w:r>
    </w:p>
    <w:p w14:paraId="36B0BE98" w14:textId="77777777" w:rsidR="006F46BF" w:rsidRDefault="00000000">
      <w:pPr>
        <w:keepNext/>
        <w:widowControl w:val="0"/>
        <w:spacing w:after="0" w:line="240" w:lineRule="auto"/>
        <w:rPr>
          <w:b/>
          <w:sz w:val="24"/>
          <w:szCs w:val="24"/>
        </w:rPr>
      </w:pPr>
      <w:r>
        <w:rPr>
          <w:b/>
          <w:sz w:val="24"/>
          <w:szCs w:val="24"/>
        </w:rPr>
        <w:t>Evaluation of the jurisdiction's progress in providing affordable housing, including the number and types of families served, the number of extremely low-income, low-income, moderate-income, and middle-income persons served.</w:t>
      </w:r>
    </w:p>
    <w:p w14:paraId="358CB153" w14:textId="77777777" w:rsidR="006F46BF" w:rsidRDefault="006F46BF">
      <w:pPr>
        <w:keepNext/>
        <w:widowControl w:val="0"/>
        <w:spacing w:after="0" w:line="240" w:lineRule="auto"/>
        <w:rPr>
          <w:sz w:val="24"/>
          <w:szCs w:val="24"/>
        </w:rPr>
      </w:pP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183"/>
        <w:gridCol w:w="2583"/>
        <w:gridCol w:w="2584"/>
      </w:tblGrid>
      <w:tr w:rsidR="006F46BF" w14:paraId="4CD8BC3D" w14:textId="77777777">
        <w:trPr>
          <w:cantSplit/>
          <w:tblHeader/>
        </w:trPr>
        <w:tc>
          <w:tcPr>
            <w:tcW w:w="4293" w:type="dxa"/>
          </w:tcPr>
          <w:p w14:paraId="717B8A67" w14:textId="77777777" w:rsidR="006F46BF" w:rsidRDefault="006F46BF">
            <w:pPr>
              <w:pStyle w:val="Caption"/>
              <w:keepNext/>
              <w:widowControl w:val="0"/>
              <w:jc w:val="center"/>
              <w:rPr>
                <w:rFonts w:ascii="Calibri" w:hAnsi="Calibri"/>
                <w:sz w:val="22"/>
                <w:szCs w:val="22"/>
              </w:rPr>
            </w:pPr>
          </w:p>
        </w:tc>
        <w:tc>
          <w:tcPr>
            <w:tcW w:w="2648" w:type="dxa"/>
          </w:tcPr>
          <w:p w14:paraId="2B7975AC" w14:textId="77777777" w:rsidR="006F46BF" w:rsidRDefault="00000000">
            <w:pPr>
              <w:pStyle w:val="Caption"/>
              <w:keepNext/>
              <w:widowControl w:val="0"/>
              <w:jc w:val="center"/>
              <w:rPr>
                <w:rFonts w:ascii="Calibri" w:hAnsi="Calibri"/>
                <w:sz w:val="22"/>
                <w:szCs w:val="22"/>
              </w:rPr>
            </w:pPr>
            <w:r>
              <w:rPr>
                <w:rFonts w:ascii="Calibri" w:hAnsi="Calibri"/>
                <w:sz w:val="22"/>
                <w:szCs w:val="22"/>
              </w:rPr>
              <w:t>One-Year Goal</w:t>
            </w:r>
          </w:p>
        </w:tc>
        <w:tc>
          <w:tcPr>
            <w:tcW w:w="2649" w:type="dxa"/>
          </w:tcPr>
          <w:p w14:paraId="6DA422D2" w14:textId="77777777" w:rsidR="006F46BF" w:rsidRDefault="00000000">
            <w:pPr>
              <w:pStyle w:val="Caption"/>
              <w:keepNext/>
              <w:widowControl w:val="0"/>
              <w:jc w:val="center"/>
              <w:rPr>
                <w:rFonts w:ascii="Calibri" w:hAnsi="Calibri"/>
                <w:sz w:val="22"/>
                <w:szCs w:val="22"/>
              </w:rPr>
            </w:pPr>
            <w:r>
              <w:rPr>
                <w:rFonts w:ascii="Calibri" w:hAnsi="Calibri"/>
                <w:sz w:val="22"/>
                <w:szCs w:val="22"/>
              </w:rPr>
              <w:t>Actual</w:t>
            </w:r>
          </w:p>
        </w:tc>
      </w:tr>
      <w:tr w:rsidR="006F46BF" w14:paraId="4EC79D61" w14:textId="77777777">
        <w:trPr>
          <w:cantSplit/>
        </w:trPr>
        <w:tc>
          <w:tcPr>
            <w:tcW w:w="4293" w:type="dxa"/>
            <w:vAlign w:val="bottom"/>
          </w:tcPr>
          <w:p w14:paraId="31BA4402" w14:textId="77777777" w:rsidR="006F46BF" w:rsidRDefault="00000000">
            <w:pPr>
              <w:spacing w:beforeAutospacing="1" w:afterAutospacing="1"/>
            </w:pPr>
            <w:r>
              <w:rPr>
                <w:color w:val="000000"/>
              </w:rPr>
              <w:t>Number of Homeless households to be provided affordable housing units</w:t>
            </w:r>
          </w:p>
        </w:tc>
        <w:tc>
          <w:tcPr>
            <w:tcW w:w="2648" w:type="dxa"/>
            <w:vAlign w:val="bottom"/>
          </w:tcPr>
          <w:p w14:paraId="51CFBE04" w14:textId="77777777" w:rsidR="006F46BF" w:rsidRDefault="00000000">
            <w:pPr>
              <w:spacing w:beforeAutospacing="1" w:afterAutospacing="1"/>
              <w:jc w:val="right"/>
            </w:pPr>
            <w:r>
              <w:rPr>
                <w:color w:val="000000"/>
              </w:rPr>
              <w:t>40</w:t>
            </w:r>
          </w:p>
        </w:tc>
        <w:tc>
          <w:tcPr>
            <w:tcW w:w="2649" w:type="dxa"/>
            <w:vAlign w:val="bottom"/>
          </w:tcPr>
          <w:p w14:paraId="29B98F9F" w14:textId="77777777" w:rsidR="006F46BF" w:rsidRDefault="00000000">
            <w:pPr>
              <w:spacing w:beforeAutospacing="1" w:afterAutospacing="1"/>
              <w:jc w:val="right"/>
            </w:pPr>
            <w:r>
              <w:rPr>
                <w:color w:val="000000"/>
              </w:rPr>
              <w:t>21</w:t>
            </w:r>
          </w:p>
        </w:tc>
      </w:tr>
      <w:tr w:rsidR="006F46BF" w14:paraId="7628358E" w14:textId="77777777">
        <w:trPr>
          <w:cantSplit/>
        </w:trPr>
        <w:tc>
          <w:tcPr>
            <w:tcW w:w="4293" w:type="dxa"/>
            <w:vAlign w:val="bottom"/>
          </w:tcPr>
          <w:p w14:paraId="5AED6B2D" w14:textId="77777777" w:rsidR="006F46BF" w:rsidRDefault="00000000">
            <w:pPr>
              <w:spacing w:beforeAutospacing="1" w:afterAutospacing="1"/>
            </w:pPr>
            <w:r>
              <w:rPr>
                <w:color w:val="000000"/>
              </w:rPr>
              <w:t>Number of Non-Homeless households to be provided affordable housing units</w:t>
            </w:r>
          </w:p>
        </w:tc>
        <w:tc>
          <w:tcPr>
            <w:tcW w:w="2648" w:type="dxa"/>
            <w:vAlign w:val="bottom"/>
          </w:tcPr>
          <w:p w14:paraId="61358E7D" w14:textId="77777777" w:rsidR="006F46BF" w:rsidRDefault="00000000">
            <w:pPr>
              <w:spacing w:beforeAutospacing="1" w:afterAutospacing="1"/>
              <w:jc w:val="right"/>
            </w:pPr>
            <w:r>
              <w:rPr>
                <w:color w:val="000000"/>
              </w:rPr>
              <w:t>0</w:t>
            </w:r>
          </w:p>
        </w:tc>
        <w:tc>
          <w:tcPr>
            <w:tcW w:w="2649" w:type="dxa"/>
            <w:vAlign w:val="bottom"/>
          </w:tcPr>
          <w:p w14:paraId="5EA835E3" w14:textId="77777777" w:rsidR="006F46BF" w:rsidRDefault="00000000">
            <w:pPr>
              <w:spacing w:beforeAutospacing="1" w:afterAutospacing="1"/>
              <w:jc w:val="right"/>
            </w:pPr>
            <w:r>
              <w:rPr>
                <w:color w:val="000000"/>
              </w:rPr>
              <w:t>85</w:t>
            </w:r>
          </w:p>
        </w:tc>
      </w:tr>
      <w:tr w:rsidR="006F46BF" w14:paraId="3B5165BB" w14:textId="77777777">
        <w:trPr>
          <w:cantSplit/>
        </w:trPr>
        <w:tc>
          <w:tcPr>
            <w:tcW w:w="4293" w:type="dxa"/>
            <w:vAlign w:val="bottom"/>
          </w:tcPr>
          <w:p w14:paraId="7F9B7E98" w14:textId="77777777" w:rsidR="006F46BF" w:rsidRDefault="00000000">
            <w:pPr>
              <w:spacing w:beforeAutospacing="1" w:afterAutospacing="1"/>
            </w:pPr>
            <w:r>
              <w:rPr>
                <w:color w:val="000000"/>
              </w:rPr>
              <w:t>Number of Special-Needs households to be provided affordable housing units</w:t>
            </w:r>
          </w:p>
        </w:tc>
        <w:tc>
          <w:tcPr>
            <w:tcW w:w="2648" w:type="dxa"/>
            <w:vAlign w:val="bottom"/>
          </w:tcPr>
          <w:p w14:paraId="0B5490B9" w14:textId="77777777" w:rsidR="006F46BF" w:rsidRDefault="00000000">
            <w:pPr>
              <w:spacing w:beforeAutospacing="1" w:afterAutospacing="1"/>
              <w:jc w:val="right"/>
            </w:pPr>
            <w:r>
              <w:rPr>
                <w:color w:val="000000"/>
              </w:rPr>
              <w:t>0</w:t>
            </w:r>
          </w:p>
        </w:tc>
        <w:tc>
          <w:tcPr>
            <w:tcW w:w="2649" w:type="dxa"/>
            <w:vAlign w:val="bottom"/>
          </w:tcPr>
          <w:p w14:paraId="4640B44A" w14:textId="77777777" w:rsidR="006F46BF" w:rsidRDefault="00000000">
            <w:pPr>
              <w:spacing w:beforeAutospacing="1" w:afterAutospacing="1"/>
              <w:jc w:val="right"/>
            </w:pPr>
            <w:r>
              <w:rPr>
                <w:color w:val="000000"/>
              </w:rPr>
              <w:t>5</w:t>
            </w:r>
          </w:p>
        </w:tc>
      </w:tr>
      <w:tr w:rsidR="006F46BF" w14:paraId="730FE17E" w14:textId="77777777">
        <w:trPr>
          <w:cantSplit/>
        </w:trPr>
        <w:tc>
          <w:tcPr>
            <w:tcW w:w="4293" w:type="dxa"/>
          </w:tcPr>
          <w:p w14:paraId="3CB89186" w14:textId="77777777" w:rsidR="006F46BF" w:rsidRDefault="00000000">
            <w:pPr>
              <w:spacing w:beforeAutospacing="1" w:afterAutospacing="1"/>
            </w:pPr>
            <w:r>
              <w:rPr>
                <w:b/>
                <w:color w:val="000000"/>
              </w:rPr>
              <w:t>Total</w:t>
            </w:r>
          </w:p>
        </w:tc>
        <w:tc>
          <w:tcPr>
            <w:tcW w:w="2648" w:type="dxa"/>
            <w:vAlign w:val="bottom"/>
          </w:tcPr>
          <w:p w14:paraId="0FB38C50" w14:textId="77777777" w:rsidR="006F46BF" w:rsidRDefault="00000000">
            <w:pPr>
              <w:spacing w:beforeAutospacing="1" w:afterAutospacing="1"/>
              <w:jc w:val="right"/>
            </w:pPr>
            <w:r>
              <w:rPr>
                <w:b/>
                <w:color w:val="000000"/>
              </w:rPr>
              <w:t>40</w:t>
            </w:r>
          </w:p>
        </w:tc>
        <w:tc>
          <w:tcPr>
            <w:tcW w:w="2649" w:type="dxa"/>
            <w:vAlign w:val="bottom"/>
          </w:tcPr>
          <w:p w14:paraId="761A893D" w14:textId="77777777" w:rsidR="006F46BF" w:rsidRDefault="00000000">
            <w:pPr>
              <w:spacing w:beforeAutospacing="1" w:afterAutospacing="1"/>
              <w:jc w:val="right"/>
            </w:pPr>
            <w:r>
              <w:rPr>
                <w:b/>
                <w:color w:val="000000"/>
              </w:rPr>
              <w:t>111</w:t>
            </w:r>
          </w:p>
        </w:tc>
      </w:tr>
    </w:tbl>
    <w:p w14:paraId="434A9430" w14:textId="77777777" w:rsidR="006F46BF" w:rsidRDefault="00000000">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11</w:t>
      </w:r>
      <w:r>
        <w:rPr>
          <w:rFonts w:asciiTheme="minorHAnsi" w:hAnsiTheme="minorHAnsi"/>
        </w:rPr>
        <w:fldChar w:fldCharType="end"/>
      </w:r>
      <w:r>
        <w:rPr>
          <w:rFonts w:asciiTheme="minorHAnsi" w:hAnsiTheme="minorHAnsi"/>
        </w:rPr>
        <w:t xml:space="preserve"> – Number of Households</w:t>
      </w:r>
    </w:p>
    <w:p w14:paraId="1F23C131" w14:textId="77777777" w:rsidR="006F46BF" w:rsidRDefault="006F46BF"/>
    <w:p w14:paraId="39B740C7" w14:textId="77777777" w:rsidR="006F46BF" w:rsidRDefault="006F46BF"/>
    <w:p w14:paraId="463CF32D" w14:textId="77777777" w:rsidR="006F46BF" w:rsidRDefault="006F46BF">
      <w:pPr>
        <w:rPr>
          <w:rFonts w:cs="Arial"/>
        </w:rPr>
      </w:pP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183"/>
        <w:gridCol w:w="2583"/>
        <w:gridCol w:w="2584"/>
      </w:tblGrid>
      <w:tr w:rsidR="006F46BF" w14:paraId="2F61D924" w14:textId="77777777">
        <w:trPr>
          <w:cantSplit/>
          <w:tblHeader/>
        </w:trPr>
        <w:tc>
          <w:tcPr>
            <w:tcW w:w="4293" w:type="dxa"/>
          </w:tcPr>
          <w:p w14:paraId="2B49D9DE" w14:textId="77777777" w:rsidR="006F46BF" w:rsidRDefault="006F46BF">
            <w:pPr>
              <w:pStyle w:val="Caption"/>
              <w:keepNext/>
              <w:widowControl w:val="0"/>
              <w:jc w:val="center"/>
              <w:rPr>
                <w:rFonts w:ascii="Calibri" w:hAnsi="Calibri"/>
                <w:sz w:val="22"/>
                <w:szCs w:val="22"/>
              </w:rPr>
            </w:pPr>
          </w:p>
        </w:tc>
        <w:tc>
          <w:tcPr>
            <w:tcW w:w="2648" w:type="dxa"/>
          </w:tcPr>
          <w:p w14:paraId="4B37EF4B" w14:textId="77777777" w:rsidR="006F46BF" w:rsidRDefault="00000000">
            <w:pPr>
              <w:pStyle w:val="Caption"/>
              <w:keepNext/>
              <w:widowControl w:val="0"/>
              <w:jc w:val="center"/>
              <w:rPr>
                <w:rFonts w:ascii="Calibri" w:hAnsi="Calibri"/>
                <w:sz w:val="22"/>
                <w:szCs w:val="22"/>
              </w:rPr>
            </w:pPr>
            <w:r>
              <w:rPr>
                <w:rFonts w:ascii="Calibri" w:hAnsi="Calibri"/>
                <w:sz w:val="22"/>
                <w:szCs w:val="22"/>
              </w:rPr>
              <w:t>One-Year Goal</w:t>
            </w:r>
          </w:p>
        </w:tc>
        <w:tc>
          <w:tcPr>
            <w:tcW w:w="2649" w:type="dxa"/>
          </w:tcPr>
          <w:p w14:paraId="3BE3DB53" w14:textId="77777777" w:rsidR="006F46BF" w:rsidRDefault="00000000">
            <w:pPr>
              <w:pStyle w:val="Caption"/>
              <w:keepNext/>
              <w:widowControl w:val="0"/>
              <w:jc w:val="center"/>
              <w:rPr>
                <w:rFonts w:ascii="Calibri" w:hAnsi="Calibri"/>
                <w:sz w:val="22"/>
                <w:szCs w:val="22"/>
              </w:rPr>
            </w:pPr>
            <w:r>
              <w:rPr>
                <w:rFonts w:ascii="Calibri" w:hAnsi="Calibri"/>
                <w:sz w:val="22"/>
                <w:szCs w:val="22"/>
              </w:rPr>
              <w:t>Actual</w:t>
            </w:r>
          </w:p>
        </w:tc>
      </w:tr>
      <w:tr w:rsidR="006F46BF" w14:paraId="298656F4" w14:textId="77777777">
        <w:trPr>
          <w:cantSplit/>
        </w:trPr>
        <w:tc>
          <w:tcPr>
            <w:tcW w:w="4293" w:type="dxa"/>
            <w:vAlign w:val="bottom"/>
          </w:tcPr>
          <w:p w14:paraId="57D419AF" w14:textId="77777777" w:rsidR="006F46BF" w:rsidRDefault="00000000">
            <w:pPr>
              <w:spacing w:beforeAutospacing="1" w:afterAutospacing="1"/>
            </w:pPr>
            <w:r>
              <w:rPr>
                <w:color w:val="000000"/>
              </w:rPr>
              <w:t>Number of households supported through Rental Assistance</w:t>
            </w:r>
          </w:p>
        </w:tc>
        <w:tc>
          <w:tcPr>
            <w:tcW w:w="2648" w:type="dxa"/>
            <w:vAlign w:val="bottom"/>
          </w:tcPr>
          <w:p w14:paraId="7EEA4615" w14:textId="77777777" w:rsidR="006F46BF" w:rsidRDefault="00000000">
            <w:pPr>
              <w:spacing w:beforeAutospacing="1" w:afterAutospacing="1"/>
              <w:jc w:val="right"/>
            </w:pPr>
            <w:r>
              <w:rPr>
                <w:color w:val="000000"/>
              </w:rPr>
              <w:t>0</w:t>
            </w:r>
          </w:p>
        </w:tc>
        <w:tc>
          <w:tcPr>
            <w:tcW w:w="2649" w:type="dxa"/>
            <w:vAlign w:val="bottom"/>
          </w:tcPr>
          <w:p w14:paraId="7C8F88F7" w14:textId="77777777" w:rsidR="006F46BF" w:rsidRDefault="00000000">
            <w:pPr>
              <w:spacing w:beforeAutospacing="1" w:afterAutospacing="1"/>
              <w:jc w:val="right"/>
            </w:pPr>
            <w:r>
              <w:rPr>
                <w:color w:val="000000"/>
              </w:rPr>
              <w:t>0</w:t>
            </w:r>
          </w:p>
        </w:tc>
      </w:tr>
      <w:tr w:rsidR="006F46BF" w14:paraId="3D4056B4" w14:textId="77777777">
        <w:trPr>
          <w:cantSplit/>
        </w:trPr>
        <w:tc>
          <w:tcPr>
            <w:tcW w:w="4293" w:type="dxa"/>
            <w:vAlign w:val="bottom"/>
          </w:tcPr>
          <w:p w14:paraId="21C2A5C9" w14:textId="77777777" w:rsidR="006F46BF" w:rsidRDefault="00000000">
            <w:pPr>
              <w:spacing w:beforeAutospacing="1" w:afterAutospacing="1"/>
            </w:pPr>
            <w:r>
              <w:rPr>
                <w:color w:val="000000"/>
              </w:rPr>
              <w:t>Number of households supported through The Production of New Units</w:t>
            </w:r>
          </w:p>
        </w:tc>
        <w:tc>
          <w:tcPr>
            <w:tcW w:w="2648" w:type="dxa"/>
            <w:vAlign w:val="bottom"/>
          </w:tcPr>
          <w:p w14:paraId="435ECD03" w14:textId="77777777" w:rsidR="006F46BF" w:rsidRDefault="00000000">
            <w:pPr>
              <w:spacing w:beforeAutospacing="1" w:afterAutospacing="1"/>
              <w:jc w:val="right"/>
            </w:pPr>
            <w:r>
              <w:rPr>
                <w:color w:val="000000"/>
              </w:rPr>
              <w:t>1</w:t>
            </w:r>
          </w:p>
        </w:tc>
        <w:tc>
          <w:tcPr>
            <w:tcW w:w="2649" w:type="dxa"/>
            <w:vAlign w:val="bottom"/>
          </w:tcPr>
          <w:p w14:paraId="26EBC063" w14:textId="77777777" w:rsidR="006F46BF" w:rsidRDefault="00000000">
            <w:pPr>
              <w:spacing w:beforeAutospacing="1" w:afterAutospacing="1"/>
              <w:jc w:val="right"/>
            </w:pPr>
            <w:r>
              <w:rPr>
                <w:color w:val="000000"/>
              </w:rPr>
              <w:t>0</w:t>
            </w:r>
          </w:p>
        </w:tc>
      </w:tr>
      <w:tr w:rsidR="006F46BF" w14:paraId="1331A344" w14:textId="77777777">
        <w:trPr>
          <w:cantSplit/>
        </w:trPr>
        <w:tc>
          <w:tcPr>
            <w:tcW w:w="4293" w:type="dxa"/>
            <w:vAlign w:val="bottom"/>
          </w:tcPr>
          <w:p w14:paraId="684B0ED4" w14:textId="77777777" w:rsidR="006F46BF" w:rsidRDefault="00000000">
            <w:pPr>
              <w:spacing w:beforeAutospacing="1" w:afterAutospacing="1"/>
            </w:pPr>
            <w:r>
              <w:rPr>
                <w:color w:val="000000"/>
              </w:rPr>
              <w:t>Number of households supported through Rehab of Existing Units</w:t>
            </w:r>
          </w:p>
        </w:tc>
        <w:tc>
          <w:tcPr>
            <w:tcW w:w="2648" w:type="dxa"/>
            <w:vAlign w:val="bottom"/>
          </w:tcPr>
          <w:p w14:paraId="2284DA3F" w14:textId="77777777" w:rsidR="006F46BF" w:rsidRDefault="00000000">
            <w:pPr>
              <w:spacing w:beforeAutospacing="1" w:afterAutospacing="1"/>
              <w:jc w:val="right"/>
            </w:pPr>
            <w:r>
              <w:rPr>
                <w:color w:val="000000"/>
              </w:rPr>
              <w:t>8</w:t>
            </w:r>
          </w:p>
        </w:tc>
        <w:tc>
          <w:tcPr>
            <w:tcW w:w="2649" w:type="dxa"/>
            <w:vAlign w:val="bottom"/>
          </w:tcPr>
          <w:p w14:paraId="5DB566B2" w14:textId="77777777" w:rsidR="006F46BF" w:rsidRDefault="00000000">
            <w:pPr>
              <w:spacing w:beforeAutospacing="1" w:afterAutospacing="1"/>
              <w:jc w:val="right"/>
            </w:pPr>
            <w:r>
              <w:rPr>
                <w:color w:val="000000"/>
              </w:rPr>
              <w:t>44</w:t>
            </w:r>
          </w:p>
        </w:tc>
      </w:tr>
      <w:tr w:rsidR="006F46BF" w14:paraId="40F9EE73" w14:textId="77777777">
        <w:trPr>
          <w:cantSplit/>
        </w:trPr>
        <w:tc>
          <w:tcPr>
            <w:tcW w:w="4293" w:type="dxa"/>
            <w:vAlign w:val="bottom"/>
          </w:tcPr>
          <w:p w14:paraId="7251310E" w14:textId="77777777" w:rsidR="006F46BF" w:rsidRDefault="00000000">
            <w:pPr>
              <w:spacing w:beforeAutospacing="1" w:afterAutospacing="1"/>
            </w:pPr>
            <w:r>
              <w:rPr>
                <w:color w:val="000000"/>
              </w:rPr>
              <w:t>Number of households supported through Acquisition of Existing Units</w:t>
            </w:r>
          </w:p>
        </w:tc>
        <w:tc>
          <w:tcPr>
            <w:tcW w:w="2648" w:type="dxa"/>
            <w:vAlign w:val="bottom"/>
          </w:tcPr>
          <w:p w14:paraId="2FD3DF9F" w14:textId="77777777" w:rsidR="006F46BF" w:rsidRDefault="00000000">
            <w:pPr>
              <w:spacing w:beforeAutospacing="1" w:afterAutospacing="1"/>
              <w:jc w:val="right"/>
            </w:pPr>
            <w:r>
              <w:rPr>
                <w:color w:val="000000"/>
              </w:rPr>
              <w:t>4</w:t>
            </w:r>
          </w:p>
        </w:tc>
        <w:tc>
          <w:tcPr>
            <w:tcW w:w="2649" w:type="dxa"/>
            <w:vAlign w:val="bottom"/>
          </w:tcPr>
          <w:p w14:paraId="6E36A236" w14:textId="77777777" w:rsidR="006F46BF" w:rsidRDefault="00000000">
            <w:pPr>
              <w:spacing w:beforeAutospacing="1" w:afterAutospacing="1"/>
              <w:jc w:val="right"/>
            </w:pPr>
            <w:r>
              <w:rPr>
                <w:color w:val="000000"/>
              </w:rPr>
              <w:t>22</w:t>
            </w:r>
          </w:p>
        </w:tc>
      </w:tr>
      <w:tr w:rsidR="006F46BF" w14:paraId="6C40FDF1" w14:textId="77777777">
        <w:trPr>
          <w:cantSplit/>
        </w:trPr>
        <w:tc>
          <w:tcPr>
            <w:tcW w:w="4293" w:type="dxa"/>
          </w:tcPr>
          <w:p w14:paraId="4F3D7CEE" w14:textId="77777777" w:rsidR="006F46BF" w:rsidRDefault="00000000">
            <w:pPr>
              <w:spacing w:beforeAutospacing="1" w:afterAutospacing="1"/>
            </w:pPr>
            <w:r>
              <w:rPr>
                <w:b/>
                <w:color w:val="000000"/>
              </w:rPr>
              <w:t>Total</w:t>
            </w:r>
          </w:p>
        </w:tc>
        <w:tc>
          <w:tcPr>
            <w:tcW w:w="2648" w:type="dxa"/>
            <w:vAlign w:val="bottom"/>
          </w:tcPr>
          <w:p w14:paraId="04EE976C" w14:textId="77777777" w:rsidR="006F46BF" w:rsidRDefault="00000000">
            <w:pPr>
              <w:spacing w:beforeAutospacing="1" w:afterAutospacing="1"/>
              <w:jc w:val="right"/>
            </w:pPr>
            <w:r>
              <w:rPr>
                <w:b/>
                <w:color w:val="000000"/>
              </w:rPr>
              <w:t>13</w:t>
            </w:r>
          </w:p>
        </w:tc>
        <w:tc>
          <w:tcPr>
            <w:tcW w:w="2649" w:type="dxa"/>
            <w:vAlign w:val="bottom"/>
          </w:tcPr>
          <w:p w14:paraId="5033BF5C" w14:textId="77777777" w:rsidR="006F46BF" w:rsidRDefault="00000000">
            <w:pPr>
              <w:spacing w:beforeAutospacing="1" w:afterAutospacing="1"/>
              <w:jc w:val="right"/>
            </w:pPr>
            <w:r>
              <w:rPr>
                <w:b/>
                <w:color w:val="000000"/>
              </w:rPr>
              <w:t>66</w:t>
            </w:r>
          </w:p>
        </w:tc>
      </w:tr>
    </w:tbl>
    <w:p w14:paraId="145AF85F" w14:textId="77777777" w:rsidR="006F46BF" w:rsidRDefault="00000000">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12</w:t>
      </w:r>
      <w:r>
        <w:rPr>
          <w:rFonts w:asciiTheme="minorHAnsi" w:hAnsiTheme="minorHAnsi"/>
        </w:rPr>
        <w:fldChar w:fldCharType="end"/>
      </w:r>
      <w:r>
        <w:rPr>
          <w:rFonts w:asciiTheme="minorHAnsi" w:hAnsiTheme="minorHAnsi"/>
        </w:rPr>
        <w:t xml:space="preserve"> – Number of Households Supported</w:t>
      </w:r>
    </w:p>
    <w:p w14:paraId="00F704B2" w14:textId="77777777" w:rsidR="006F46BF" w:rsidRDefault="006F46BF">
      <w:pPr>
        <w:rPr>
          <w:rFonts w:cs="Arial"/>
        </w:rPr>
      </w:pPr>
    </w:p>
    <w:p w14:paraId="1F7BCC46" w14:textId="77777777" w:rsidR="006F46BF" w:rsidRDefault="006F46BF">
      <w:pPr>
        <w:rPr>
          <w:rFonts w:cs="Arial"/>
        </w:rPr>
      </w:pPr>
    </w:p>
    <w:p w14:paraId="6B586854" w14:textId="77777777" w:rsidR="006F46BF" w:rsidRDefault="00000000">
      <w:pPr>
        <w:widowControl w:val="0"/>
        <w:spacing w:line="204" w:lineRule="auto"/>
        <w:rPr>
          <w:b/>
          <w:sz w:val="24"/>
          <w:szCs w:val="24"/>
        </w:rPr>
      </w:pPr>
      <w:r>
        <w:rPr>
          <w:b/>
          <w:sz w:val="24"/>
          <w:szCs w:val="24"/>
        </w:rPr>
        <w:t>Discuss the difference between goals and outcomes and problems encountered in meeting these goals.</w:t>
      </w:r>
    </w:p>
    <w:p w14:paraId="39A74E1F" w14:textId="77777777" w:rsidR="006F46BF" w:rsidRDefault="00000000">
      <w:pPr>
        <w:spacing w:beforeAutospacing="1" w:afterAutospacing="1"/>
        <w:rPr>
          <w:rFonts w:cs="Arial"/>
        </w:rPr>
      </w:pPr>
      <w:r>
        <w:rPr>
          <w:rFonts w:cs="Arial"/>
          <w:b/>
        </w:rPr>
        <w:t>Number of Households Supported Summary:</w:t>
      </w:r>
    </w:p>
    <w:p w14:paraId="626CD732" w14:textId="77777777" w:rsidR="006F46BF" w:rsidRDefault="00000000">
      <w:pPr>
        <w:spacing w:beforeAutospacing="1" w:afterAutospacing="1"/>
        <w:rPr>
          <w:rFonts w:cs="Arial"/>
        </w:rPr>
      </w:pPr>
      <w:r>
        <w:rPr>
          <w:rFonts w:cs="Arial"/>
          <w:b/>
        </w:rPr>
        <w:t>Rental Assistance (CDBG-CV) - </w:t>
      </w:r>
      <w:r>
        <w:rPr>
          <w:rFonts w:cs="Arial"/>
        </w:rPr>
        <w:t xml:space="preserve">NHSH Provided rental assistance to </w:t>
      </w:r>
      <w:proofErr w:type="gramStart"/>
      <w:r>
        <w:rPr>
          <w:rFonts w:cs="Arial"/>
        </w:rPr>
        <w:t>approximately</w:t>
      </w:r>
      <w:proofErr w:type="gramEnd"/>
      <w:r>
        <w:rPr>
          <w:rFonts w:cs="Arial"/>
        </w:rPr>
        <w:t> </w:t>
      </w:r>
    </w:p>
    <w:p w14:paraId="04889480" w14:textId="77777777" w:rsidR="006F46BF" w:rsidRDefault="00000000">
      <w:pPr>
        <w:spacing w:beforeAutospacing="1" w:afterAutospacing="1"/>
        <w:rPr>
          <w:rFonts w:cs="Arial"/>
        </w:rPr>
      </w:pPr>
      <w:r>
        <w:rPr>
          <w:rFonts w:cs="Arial"/>
          <w:b/>
        </w:rPr>
        <w:t>Homeless Households Supported - </w:t>
      </w:r>
      <w:r>
        <w:rPr>
          <w:rFonts w:cs="Arial"/>
        </w:rPr>
        <w:t>SERVE City Choices/Shekinah (</w:t>
      </w:r>
      <w:r>
        <w:rPr>
          <w:rFonts w:cs="Arial"/>
          <w:b/>
        </w:rPr>
        <w:t>8</w:t>
      </w:r>
      <w:r>
        <w:rPr>
          <w:rFonts w:cs="Arial"/>
        </w:rPr>
        <w:t xml:space="preserve"> homeless persons-Choices, </w:t>
      </w:r>
      <w:r>
        <w:rPr>
          <w:rFonts w:cs="Arial"/>
          <w:b/>
        </w:rPr>
        <w:t>10</w:t>
      </w:r>
      <w:r>
        <w:rPr>
          <w:rFonts w:cs="Arial"/>
        </w:rPr>
        <w:t xml:space="preserve"> homeless persons -Shekinah); and remains in its affordability period and </w:t>
      </w:r>
      <w:proofErr w:type="gramStart"/>
      <w:r>
        <w:rPr>
          <w:rFonts w:cs="Arial"/>
        </w:rPr>
        <w:t>are therefore is</w:t>
      </w:r>
      <w:proofErr w:type="gramEnd"/>
      <w:r>
        <w:rPr>
          <w:rFonts w:cs="Arial"/>
        </w:rPr>
        <w:t xml:space="preserve"> being counted. </w:t>
      </w:r>
      <w:r>
        <w:rPr>
          <w:rFonts w:cs="Arial"/>
          <w:i/>
        </w:rPr>
        <w:lastRenderedPageBreak/>
        <w:t>This also includes NHS (Campbell Ave) (3 households supported). NHSH provided rental assistance using CDBG-CV funds to approximately eighty-five (85) households.  </w:t>
      </w:r>
    </w:p>
    <w:p w14:paraId="06B5A53B" w14:textId="77777777" w:rsidR="006F46BF" w:rsidRDefault="00000000">
      <w:pPr>
        <w:spacing w:beforeAutospacing="1" w:afterAutospacing="1"/>
        <w:rPr>
          <w:rFonts w:cs="Arial"/>
        </w:rPr>
      </w:pPr>
      <w:r>
        <w:rPr>
          <w:rFonts w:cs="Arial"/>
          <w:b/>
        </w:rPr>
        <w:t>Non-Homeless Households Supported - </w:t>
      </w:r>
      <w:r>
        <w:rPr>
          <w:rFonts w:cs="Arial"/>
        </w:rPr>
        <w:t>Art Space (</w:t>
      </w:r>
      <w:r>
        <w:rPr>
          <w:rFonts w:cs="Arial"/>
          <w:b/>
        </w:rPr>
        <w:t>11</w:t>
      </w:r>
      <w:r>
        <w:rPr>
          <w:rFonts w:cs="Arial"/>
        </w:rPr>
        <w:t xml:space="preserve"> households). </w:t>
      </w:r>
    </w:p>
    <w:p w14:paraId="01907ACA" w14:textId="77777777" w:rsidR="006F46BF" w:rsidRDefault="00000000">
      <w:pPr>
        <w:spacing w:beforeAutospacing="1" w:afterAutospacing="1"/>
        <w:rPr>
          <w:rFonts w:cs="Arial"/>
        </w:rPr>
      </w:pPr>
      <w:r>
        <w:rPr>
          <w:rFonts w:cs="Arial"/>
          <w:b/>
        </w:rPr>
        <w:t>Special Needs - </w:t>
      </w:r>
      <w:r>
        <w:rPr>
          <w:rFonts w:cs="Arial"/>
        </w:rPr>
        <w:t>Partnerships for Housing (</w:t>
      </w:r>
      <w:r>
        <w:rPr>
          <w:rFonts w:cs="Arial"/>
          <w:b/>
        </w:rPr>
        <w:t>5</w:t>
      </w:r>
      <w:r>
        <w:rPr>
          <w:rFonts w:cs="Arial"/>
        </w:rPr>
        <w:t xml:space="preserve"> households) (Remains in its affordability period)</w:t>
      </w:r>
    </w:p>
    <w:p w14:paraId="1EC34D42" w14:textId="77777777" w:rsidR="006F46BF" w:rsidRDefault="00000000">
      <w:pPr>
        <w:spacing w:beforeAutospacing="1" w:afterAutospacing="1"/>
        <w:rPr>
          <w:rFonts w:cs="Arial"/>
        </w:rPr>
      </w:pPr>
      <w:r>
        <w:rPr>
          <w:rFonts w:cs="Arial"/>
          <w:b/>
        </w:rPr>
        <w:t>The Production of New Units</w:t>
      </w:r>
      <w:r>
        <w:rPr>
          <w:rFonts w:cs="Arial"/>
        </w:rPr>
        <w:t> - The City provided HOME funds to NHSH for the creation of one (</w:t>
      </w:r>
      <w:r>
        <w:rPr>
          <w:rFonts w:cs="Arial"/>
          <w:b/>
        </w:rPr>
        <w:t>1</w:t>
      </w:r>
      <w:r>
        <w:rPr>
          <w:rFonts w:cs="Arial"/>
        </w:rPr>
        <w:t>) new construction single-family unit. </w:t>
      </w:r>
    </w:p>
    <w:p w14:paraId="4577A775" w14:textId="77777777" w:rsidR="006F46BF" w:rsidRDefault="00000000">
      <w:pPr>
        <w:spacing w:beforeAutospacing="1" w:afterAutospacing="1"/>
        <w:rPr>
          <w:rFonts w:cs="Arial"/>
        </w:rPr>
      </w:pPr>
      <w:r>
        <w:rPr>
          <w:rFonts w:cs="Arial"/>
          <w:b/>
        </w:rPr>
        <w:t>Rehab of Existing Units</w:t>
      </w:r>
      <w:r>
        <w:rPr>
          <w:rFonts w:cs="Arial"/>
        </w:rPr>
        <w:t> - NHSH utilized CDBG funds to conduct fourteen (</w:t>
      </w:r>
      <w:r>
        <w:rPr>
          <w:rFonts w:cs="Arial"/>
          <w:b/>
        </w:rPr>
        <w:t>14</w:t>
      </w:r>
      <w:r>
        <w:rPr>
          <w:rFonts w:cs="Arial"/>
        </w:rPr>
        <w:t>) home-repairs and SELF conducted thirty (</w:t>
      </w:r>
      <w:r>
        <w:rPr>
          <w:rFonts w:cs="Arial"/>
          <w:b/>
        </w:rPr>
        <w:t>30</w:t>
      </w:r>
      <w:r>
        <w:rPr>
          <w:rFonts w:cs="Arial"/>
        </w:rPr>
        <w:t xml:space="preserve">) home repairs for extremely low/low-income </w:t>
      </w:r>
      <w:proofErr w:type="gramStart"/>
      <w:r>
        <w:rPr>
          <w:rFonts w:cs="Arial"/>
        </w:rPr>
        <w:t>home owners</w:t>
      </w:r>
      <w:proofErr w:type="gramEnd"/>
      <w:r>
        <w:rPr>
          <w:rFonts w:cs="Arial"/>
        </w:rPr>
        <w:t xml:space="preserve"> in the City of Hamilton. </w:t>
      </w:r>
    </w:p>
    <w:p w14:paraId="1A60079D" w14:textId="77777777" w:rsidR="006F46BF" w:rsidRDefault="00000000">
      <w:pPr>
        <w:spacing w:beforeAutospacing="1" w:afterAutospacing="1"/>
        <w:rPr>
          <w:rFonts w:cs="Arial"/>
        </w:rPr>
      </w:pPr>
      <w:r>
        <w:rPr>
          <w:rFonts w:cs="Arial"/>
          <w:b/>
        </w:rPr>
        <w:t>Acquisition of Existing Units </w:t>
      </w:r>
      <w:r>
        <w:rPr>
          <w:rFonts w:cs="Arial"/>
        </w:rPr>
        <w:t>- NHSH assisted twenty-two (</w:t>
      </w:r>
      <w:r>
        <w:rPr>
          <w:rFonts w:cs="Arial"/>
          <w:b/>
        </w:rPr>
        <w:t>22</w:t>
      </w:r>
      <w:r>
        <w:rPr>
          <w:rFonts w:cs="Arial"/>
        </w:rPr>
        <w:t>) households through the Down-payment Assistance Program. </w:t>
      </w:r>
    </w:p>
    <w:p w14:paraId="7110D492" w14:textId="77777777" w:rsidR="006F46BF" w:rsidRDefault="00000000">
      <w:pPr>
        <w:widowControl w:val="0"/>
        <w:spacing w:line="204" w:lineRule="auto"/>
        <w:rPr>
          <w:b/>
          <w:sz w:val="24"/>
          <w:szCs w:val="24"/>
        </w:rPr>
      </w:pPr>
      <w:r>
        <w:rPr>
          <w:b/>
          <w:sz w:val="24"/>
          <w:szCs w:val="24"/>
        </w:rPr>
        <w:t>Discuss how these outcomes will impact future annual action plans.</w:t>
      </w:r>
    </w:p>
    <w:p w14:paraId="2DB7CA45" w14:textId="77777777" w:rsidR="006F46BF" w:rsidRDefault="00000000">
      <w:pPr>
        <w:spacing w:beforeAutospacing="1" w:afterAutospacing="1"/>
        <w:rPr>
          <w:rFonts w:cs="Arial"/>
        </w:rPr>
      </w:pPr>
      <w:r>
        <w:rPr>
          <w:rFonts w:cs="Arial"/>
        </w:rPr>
        <w:t>The city will continue its efforts to provide and support the creation and sustainability of affordable housing in the community. Efforts may include, but not be limited to, supporting projects using CDBG, HOME, and HOME-ARP funds. </w:t>
      </w:r>
    </w:p>
    <w:p w14:paraId="7ED77BD3" w14:textId="77777777" w:rsidR="006F46BF" w:rsidRDefault="00000000">
      <w:pPr>
        <w:keepNext/>
        <w:widowControl w:val="0"/>
        <w:spacing w:line="204" w:lineRule="auto"/>
        <w:rPr>
          <w:b/>
          <w:sz w:val="24"/>
          <w:szCs w:val="24"/>
        </w:rPr>
      </w:pPr>
      <w:r>
        <w:rPr>
          <w:b/>
          <w:sz w:val="24"/>
          <w:szCs w:val="24"/>
        </w:rPr>
        <w:t>Include the number of extremely low-income, low-income, and moderate-income persons served by each activity where information on income by family size is required to determine the eligibility of the activity.</w:t>
      </w:r>
    </w:p>
    <w:p w14:paraId="2BB647C9" w14:textId="77777777" w:rsidR="006F46BF" w:rsidRDefault="006F46BF">
      <w:pPr>
        <w:widowControl w:val="0"/>
        <w:spacing w:line="204" w:lineRule="auto"/>
        <w:rPr>
          <w:b/>
          <w:vanish/>
          <w:sz w:val="24"/>
          <w:szCs w:val="24"/>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081"/>
        <w:gridCol w:w="1859"/>
        <w:gridCol w:w="1890"/>
        <w:gridCol w:w="25"/>
      </w:tblGrid>
      <w:tr w:rsidR="006F46BF" w14:paraId="48117702" w14:textId="77777777">
        <w:trPr>
          <w:cantSplit/>
        </w:trPr>
        <w:tc>
          <w:tcPr>
            <w:tcW w:w="4081" w:type="dxa"/>
          </w:tcPr>
          <w:p w14:paraId="0AECC6DC" w14:textId="77777777" w:rsidR="006F46BF" w:rsidRDefault="00000000">
            <w:pPr>
              <w:keepNext/>
              <w:widowControl w:val="0"/>
              <w:spacing w:after="0" w:line="240" w:lineRule="auto"/>
              <w:jc w:val="center"/>
              <w:rPr>
                <w:b/>
              </w:rPr>
            </w:pPr>
            <w:proofErr w:type="gramStart"/>
            <w:r>
              <w:rPr>
                <w:b/>
              </w:rPr>
              <w:t>Number  of</w:t>
            </w:r>
            <w:proofErr w:type="gramEnd"/>
            <w:r>
              <w:rPr>
                <w:b/>
              </w:rPr>
              <w:t xml:space="preserve"> Households Served</w:t>
            </w:r>
          </w:p>
        </w:tc>
        <w:tc>
          <w:tcPr>
            <w:tcW w:w="1859" w:type="dxa"/>
          </w:tcPr>
          <w:p w14:paraId="38959B6C" w14:textId="77777777" w:rsidR="006F46BF" w:rsidRDefault="00000000">
            <w:pPr>
              <w:keepNext/>
              <w:widowControl w:val="0"/>
              <w:spacing w:after="0" w:line="240" w:lineRule="auto"/>
              <w:jc w:val="center"/>
              <w:rPr>
                <w:b/>
              </w:rPr>
            </w:pPr>
            <w:r>
              <w:rPr>
                <w:b/>
              </w:rPr>
              <w:t>CDBG Actual</w:t>
            </w:r>
          </w:p>
        </w:tc>
        <w:tc>
          <w:tcPr>
            <w:tcW w:w="1915" w:type="dxa"/>
            <w:gridSpan w:val="2"/>
          </w:tcPr>
          <w:p w14:paraId="5E784C3C" w14:textId="77777777" w:rsidR="006F46BF" w:rsidRDefault="00000000">
            <w:pPr>
              <w:keepNext/>
              <w:widowControl w:val="0"/>
              <w:spacing w:after="0" w:line="240" w:lineRule="auto"/>
              <w:jc w:val="center"/>
              <w:rPr>
                <w:b/>
              </w:rPr>
            </w:pPr>
            <w:r>
              <w:rPr>
                <w:b/>
              </w:rPr>
              <w:t>HOME Actual</w:t>
            </w:r>
          </w:p>
        </w:tc>
      </w:tr>
      <w:tr w:rsidR="006F46BF" w14:paraId="34402761" w14:textId="77777777">
        <w:trPr>
          <w:gridAfter w:val="1"/>
          <w:wAfter w:w="25" w:type="dxa"/>
          <w:cantSplit/>
        </w:trPr>
        <w:tc>
          <w:tcPr>
            <w:tcW w:w="4081" w:type="dxa"/>
            <w:vAlign w:val="bottom"/>
          </w:tcPr>
          <w:p w14:paraId="610F6011" w14:textId="77777777" w:rsidR="006F46BF" w:rsidRDefault="00000000">
            <w:pPr>
              <w:spacing w:beforeAutospacing="1" w:afterAutospacing="1"/>
            </w:pPr>
            <w:r>
              <w:rPr>
                <w:color w:val="000000"/>
              </w:rPr>
              <w:t>Extremely Low-income</w:t>
            </w:r>
          </w:p>
        </w:tc>
        <w:tc>
          <w:tcPr>
            <w:tcW w:w="1859" w:type="dxa"/>
            <w:vAlign w:val="bottom"/>
          </w:tcPr>
          <w:p w14:paraId="25E54BF0" w14:textId="77777777" w:rsidR="006F46BF" w:rsidRDefault="00000000">
            <w:pPr>
              <w:spacing w:beforeAutospacing="1" w:afterAutospacing="1"/>
              <w:jc w:val="right"/>
            </w:pPr>
            <w:r>
              <w:rPr>
                <w:color w:val="000000"/>
              </w:rPr>
              <w:t>29</w:t>
            </w:r>
          </w:p>
        </w:tc>
        <w:tc>
          <w:tcPr>
            <w:tcW w:w="1890" w:type="dxa"/>
            <w:vAlign w:val="bottom"/>
          </w:tcPr>
          <w:p w14:paraId="689EEEE8" w14:textId="77777777" w:rsidR="006F46BF" w:rsidRDefault="00000000">
            <w:pPr>
              <w:spacing w:beforeAutospacing="1" w:afterAutospacing="1"/>
              <w:jc w:val="right"/>
            </w:pPr>
            <w:r>
              <w:rPr>
                <w:color w:val="000000"/>
              </w:rPr>
              <w:t>9</w:t>
            </w:r>
          </w:p>
        </w:tc>
      </w:tr>
      <w:tr w:rsidR="006F46BF" w14:paraId="33956AEA" w14:textId="77777777">
        <w:trPr>
          <w:gridAfter w:val="1"/>
          <w:wAfter w:w="25" w:type="dxa"/>
          <w:cantSplit/>
        </w:trPr>
        <w:tc>
          <w:tcPr>
            <w:tcW w:w="4081" w:type="dxa"/>
            <w:vAlign w:val="bottom"/>
          </w:tcPr>
          <w:p w14:paraId="1C3379B3" w14:textId="77777777" w:rsidR="006F46BF" w:rsidRDefault="00000000">
            <w:pPr>
              <w:spacing w:beforeAutospacing="1" w:afterAutospacing="1"/>
            </w:pPr>
            <w:r>
              <w:rPr>
                <w:color w:val="000000"/>
              </w:rPr>
              <w:t>Low-income</w:t>
            </w:r>
          </w:p>
        </w:tc>
        <w:tc>
          <w:tcPr>
            <w:tcW w:w="1859" w:type="dxa"/>
            <w:vAlign w:val="bottom"/>
          </w:tcPr>
          <w:p w14:paraId="7DD08A1C" w14:textId="77777777" w:rsidR="006F46BF" w:rsidRDefault="00000000">
            <w:pPr>
              <w:spacing w:beforeAutospacing="1" w:afterAutospacing="1"/>
              <w:jc w:val="right"/>
            </w:pPr>
            <w:r>
              <w:rPr>
                <w:color w:val="000000"/>
              </w:rPr>
              <w:t>15</w:t>
            </w:r>
          </w:p>
        </w:tc>
        <w:tc>
          <w:tcPr>
            <w:tcW w:w="1890" w:type="dxa"/>
            <w:vAlign w:val="bottom"/>
          </w:tcPr>
          <w:p w14:paraId="444F5C51" w14:textId="77777777" w:rsidR="006F46BF" w:rsidRDefault="00000000">
            <w:pPr>
              <w:spacing w:beforeAutospacing="1" w:afterAutospacing="1"/>
              <w:jc w:val="right"/>
            </w:pPr>
            <w:r>
              <w:rPr>
                <w:color w:val="000000"/>
              </w:rPr>
              <w:t>47</w:t>
            </w:r>
          </w:p>
        </w:tc>
      </w:tr>
      <w:tr w:rsidR="006F46BF" w14:paraId="16FC1D7C" w14:textId="77777777">
        <w:trPr>
          <w:gridAfter w:val="1"/>
          <w:wAfter w:w="25" w:type="dxa"/>
          <w:cantSplit/>
        </w:trPr>
        <w:tc>
          <w:tcPr>
            <w:tcW w:w="4081" w:type="dxa"/>
            <w:vAlign w:val="bottom"/>
          </w:tcPr>
          <w:p w14:paraId="06336489" w14:textId="77777777" w:rsidR="006F46BF" w:rsidRDefault="00000000">
            <w:pPr>
              <w:spacing w:beforeAutospacing="1" w:afterAutospacing="1"/>
            </w:pPr>
            <w:r>
              <w:rPr>
                <w:color w:val="000000"/>
              </w:rPr>
              <w:t>Moderate-income</w:t>
            </w:r>
          </w:p>
        </w:tc>
        <w:tc>
          <w:tcPr>
            <w:tcW w:w="1859" w:type="dxa"/>
            <w:vAlign w:val="bottom"/>
          </w:tcPr>
          <w:p w14:paraId="7CA480DB" w14:textId="77777777" w:rsidR="006F46BF" w:rsidRDefault="00000000">
            <w:pPr>
              <w:spacing w:beforeAutospacing="1" w:afterAutospacing="1"/>
              <w:jc w:val="right"/>
            </w:pPr>
            <w:r>
              <w:rPr>
                <w:color w:val="000000"/>
              </w:rPr>
              <w:t>0</w:t>
            </w:r>
          </w:p>
        </w:tc>
        <w:tc>
          <w:tcPr>
            <w:tcW w:w="1890" w:type="dxa"/>
            <w:vAlign w:val="bottom"/>
          </w:tcPr>
          <w:p w14:paraId="4DF04E63" w14:textId="77777777" w:rsidR="006F46BF" w:rsidRDefault="00000000">
            <w:pPr>
              <w:spacing w:beforeAutospacing="1" w:afterAutospacing="1"/>
              <w:jc w:val="right"/>
            </w:pPr>
            <w:r>
              <w:rPr>
                <w:color w:val="000000"/>
              </w:rPr>
              <w:t>0</w:t>
            </w:r>
          </w:p>
        </w:tc>
      </w:tr>
      <w:tr w:rsidR="006F46BF" w14:paraId="69B4C67A" w14:textId="77777777">
        <w:trPr>
          <w:gridAfter w:val="1"/>
          <w:wAfter w:w="25" w:type="dxa"/>
          <w:cantSplit/>
        </w:trPr>
        <w:tc>
          <w:tcPr>
            <w:tcW w:w="4081" w:type="dxa"/>
            <w:vAlign w:val="bottom"/>
          </w:tcPr>
          <w:p w14:paraId="6103D8A4" w14:textId="77777777" w:rsidR="006F46BF" w:rsidRDefault="00000000">
            <w:pPr>
              <w:spacing w:beforeAutospacing="1" w:afterAutospacing="1"/>
            </w:pPr>
            <w:r>
              <w:rPr>
                <w:b/>
                <w:color w:val="000000"/>
              </w:rPr>
              <w:t>Total</w:t>
            </w:r>
          </w:p>
        </w:tc>
        <w:tc>
          <w:tcPr>
            <w:tcW w:w="1859" w:type="dxa"/>
            <w:vAlign w:val="bottom"/>
          </w:tcPr>
          <w:p w14:paraId="6B9AE710" w14:textId="77777777" w:rsidR="006F46BF" w:rsidRDefault="00000000">
            <w:pPr>
              <w:spacing w:beforeAutospacing="1" w:afterAutospacing="1"/>
              <w:jc w:val="right"/>
            </w:pPr>
            <w:r>
              <w:rPr>
                <w:b/>
                <w:color w:val="000000"/>
              </w:rPr>
              <w:t>44</w:t>
            </w:r>
          </w:p>
        </w:tc>
        <w:tc>
          <w:tcPr>
            <w:tcW w:w="1890" w:type="dxa"/>
            <w:vAlign w:val="bottom"/>
          </w:tcPr>
          <w:p w14:paraId="309F48B3" w14:textId="77777777" w:rsidR="006F46BF" w:rsidRDefault="00000000">
            <w:pPr>
              <w:spacing w:beforeAutospacing="1" w:afterAutospacing="1"/>
              <w:jc w:val="right"/>
            </w:pPr>
            <w:r>
              <w:rPr>
                <w:b/>
                <w:color w:val="000000"/>
              </w:rPr>
              <w:t>56</w:t>
            </w:r>
          </w:p>
        </w:tc>
      </w:tr>
    </w:tbl>
    <w:p w14:paraId="572F3326" w14:textId="77777777" w:rsidR="006F46BF" w:rsidRDefault="00000000">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13</w:t>
      </w:r>
      <w:r>
        <w:rPr>
          <w:rFonts w:asciiTheme="minorHAnsi" w:hAnsiTheme="minorHAnsi"/>
        </w:rPr>
        <w:fldChar w:fldCharType="end"/>
      </w:r>
      <w:r>
        <w:rPr>
          <w:rFonts w:asciiTheme="minorHAnsi" w:hAnsiTheme="minorHAnsi"/>
        </w:rPr>
        <w:t xml:space="preserve"> – Number of Households Served</w:t>
      </w:r>
    </w:p>
    <w:p w14:paraId="48CA2A2C" w14:textId="77777777" w:rsidR="006F46BF" w:rsidRDefault="006F46BF">
      <w:pPr>
        <w:widowControl w:val="0"/>
        <w:spacing w:line="204" w:lineRule="auto"/>
        <w:rPr>
          <w:b/>
          <w:sz w:val="24"/>
          <w:szCs w:val="24"/>
        </w:rPr>
      </w:pPr>
    </w:p>
    <w:p w14:paraId="0EC0AD02" w14:textId="77777777" w:rsidR="006F46BF" w:rsidRDefault="006F46BF">
      <w:pPr>
        <w:widowControl w:val="0"/>
        <w:spacing w:line="204" w:lineRule="auto"/>
        <w:rPr>
          <w:b/>
          <w:sz w:val="24"/>
          <w:szCs w:val="24"/>
        </w:rPr>
      </w:pPr>
    </w:p>
    <w:p w14:paraId="10B9E319" w14:textId="77777777" w:rsidR="006F46BF" w:rsidRDefault="00000000">
      <w:pPr>
        <w:widowControl w:val="0"/>
        <w:spacing w:line="204" w:lineRule="auto"/>
        <w:rPr>
          <w:b/>
          <w:sz w:val="24"/>
          <w:szCs w:val="24"/>
        </w:rPr>
      </w:pPr>
      <w:r>
        <w:rPr>
          <w:b/>
          <w:sz w:val="24"/>
          <w:szCs w:val="24"/>
        </w:rPr>
        <w:t>Narrative Information</w:t>
      </w:r>
    </w:p>
    <w:p w14:paraId="4649E07E" w14:textId="77777777" w:rsidR="006F46BF" w:rsidRDefault="00000000">
      <w:pPr>
        <w:spacing w:beforeAutospacing="1" w:afterAutospacing="1"/>
        <w:rPr>
          <w:rFonts w:cs="Arial"/>
        </w:rPr>
      </w:pPr>
      <w:r>
        <w:rPr>
          <w:rFonts w:cs="Arial"/>
          <w:b/>
          <w:i/>
        </w:rPr>
        <w:t>NHSH DPA (HOME funded)</w:t>
      </w:r>
    </w:p>
    <w:p w14:paraId="1B361446" w14:textId="77777777" w:rsidR="006F46BF" w:rsidRDefault="00000000">
      <w:pPr>
        <w:spacing w:beforeAutospacing="1" w:afterAutospacing="1"/>
        <w:rPr>
          <w:rFonts w:cs="Arial"/>
        </w:rPr>
      </w:pPr>
      <w:r>
        <w:rPr>
          <w:rFonts w:cs="Arial"/>
        </w:rPr>
        <w:t>Extremely Low Income - </w:t>
      </w:r>
      <w:r>
        <w:rPr>
          <w:rFonts w:cs="Arial"/>
          <w:b/>
        </w:rPr>
        <w:t>1</w:t>
      </w:r>
    </w:p>
    <w:p w14:paraId="04B47463" w14:textId="77777777" w:rsidR="006F46BF" w:rsidRDefault="00000000">
      <w:pPr>
        <w:spacing w:beforeAutospacing="1" w:afterAutospacing="1"/>
        <w:rPr>
          <w:rFonts w:cs="Arial"/>
        </w:rPr>
      </w:pPr>
      <w:r>
        <w:rPr>
          <w:rFonts w:cs="Arial"/>
        </w:rPr>
        <w:t>Very Low Income -</w:t>
      </w:r>
      <w:r>
        <w:rPr>
          <w:rFonts w:cs="Arial"/>
          <w:b/>
        </w:rPr>
        <w:t> 5</w:t>
      </w:r>
    </w:p>
    <w:p w14:paraId="19E19ADC" w14:textId="77777777" w:rsidR="006F46BF" w:rsidRDefault="00000000">
      <w:pPr>
        <w:spacing w:beforeAutospacing="1" w:afterAutospacing="1"/>
        <w:rPr>
          <w:rFonts w:cs="Arial"/>
        </w:rPr>
      </w:pPr>
      <w:r>
        <w:rPr>
          <w:rFonts w:cs="Arial"/>
        </w:rPr>
        <w:t>Low Income - </w:t>
      </w:r>
      <w:r>
        <w:rPr>
          <w:rFonts w:cs="Arial"/>
          <w:b/>
        </w:rPr>
        <w:t>16</w:t>
      </w:r>
    </w:p>
    <w:p w14:paraId="7EFEB9CB" w14:textId="77777777" w:rsidR="006F46BF" w:rsidRDefault="00000000">
      <w:pPr>
        <w:spacing w:beforeAutospacing="1" w:afterAutospacing="1"/>
        <w:rPr>
          <w:rFonts w:cs="Arial"/>
        </w:rPr>
      </w:pPr>
      <w:r>
        <w:rPr>
          <w:rFonts w:cs="Arial"/>
          <w:b/>
          <w:i/>
        </w:rPr>
        <w:lastRenderedPageBreak/>
        <w:t>Serve City (HOME funded):</w:t>
      </w:r>
    </w:p>
    <w:p w14:paraId="0D2A92B7" w14:textId="77777777" w:rsidR="006F46BF" w:rsidRDefault="00000000">
      <w:pPr>
        <w:spacing w:beforeAutospacing="1" w:afterAutospacing="1"/>
        <w:rPr>
          <w:rFonts w:cs="Arial"/>
        </w:rPr>
      </w:pPr>
      <w:r>
        <w:rPr>
          <w:rFonts w:cs="Arial"/>
        </w:rPr>
        <w:t>Low-Income - </w:t>
      </w:r>
      <w:r>
        <w:rPr>
          <w:rFonts w:cs="Arial"/>
          <w:b/>
        </w:rPr>
        <w:t>18</w:t>
      </w:r>
    </w:p>
    <w:p w14:paraId="354B3499" w14:textId="77777777" w:rsidR="006F46BF" w:rsidRDefault="00000000">
      <w:pPr>
        <w:spacing w:beforeAutospacing="1" w:afterAutospacing="1"/>
        <w:rPr>
          <w:rFonts w:cs="Arial"/>
        </w:rPr>
      </w:pPr>
      <w:r>
        <w:rPr>
          <w:rFonts w:cs="Arial"/>
          <w:b/>
          <w:i/>
        </w:rPr>
        <w:t>Partnerships for Housing (HOME funded):</w:t>
      </w:r>
    </w:p>
    <w:p w14:paraId="212D9B50" w14:textId="77777777" w:rsidR="006F46BF" w:rsidRDefault="00000000">
      <w:pPr>
        <w:spacing w:beforeAutospacing="1" w:afterAutospacing="1"/>
        <w:rPr>
          <w:rFonts w:cs="Arial"/>
        </w:rPr>
      </w:pPr>
      <w:r>
        <w:rPr>
          <w:rFonts w:cs="Arial"/>
        </w:rPr>
        <w:t>Extremely Low-Income - </w:t>
      </w:r>
      <w:r>
        <w:rPr>
          <w:rFonts w:cs="Arial"/>
          <w:b/>
        </w:rPr>
        <w:t>5</w:t>
      </w:r>
    </w:p>
    <w:p w14:paraId="6DAC1BB5" w14:textId="77777777" w:rsidR="006F46BF" w:rsidRDefault="00000000">
      <w:pPr>
        <w:spacing w:beforeAutospacing="1" w:afterAutospacing="1"/>
        <w:rPr>
          <w:rFonts w:cs="Arial"/>
        </w:rPr>
      </w:pPr>
      <w:proofErr w:type="spellStart"/>
      <w:r>
        <w:rPr>
          <w:rFonts w:cs="Arial"/>
          <w:b/>
        </w:rPr>
        <w:t>ArtSpace</w:t>
      </w:r>
      <w:proofErr w:type="spellEnd"/>
      <w:r>
        <w:rPr>
          <w:rFonts w:cs="Arial"/>
          <w:b/>
        </w:rPr>
        <w:t xml:space="preserve"> (HOME funded):</w:t>
      </w:r>
    </w:p>
    <w:p w14:paraId="7EAFF22D" w14:textId="77777777" w:rsidR="006F46BF" w:rsidRDefault="00000000">
      <w:pPr>
        <w:spacing w:beforeAutospacing="1" w:afterAutospacing="1"/>
        <w:rPr>
          <w:rFonts w:cs="Arial"/>
        </w:rPr>
      </w:pPr>
      <w:r>
        <w:rPr>
          <w:rFonts w:cs="Arial"/>
        </w:rPr>
        <w:t>Extremely Low-Income - </w:t>
      </w:r>
      <w:r>
        <w:rPr>
          <w:rFonts w:cs="Arial"/>
          <w:b/>
        </w:rPr>
        <w:t>3</w:t>
      </w:r>
    </w:p>
    <w:p w14:paraId="3EEA9944" w14:textId="77777777" w:rsidR="006F46BF" w:rsidRDefault="00000000">
      <w:pPr>
        <w:spacing w:beforeAutospacing="1" w:afterAutospacing="1"/>
        <w:rPr>
          <w:rFonts w:cs="Arial"/>
        </w:rPr>
      </w:pPr>
      <w:r>
        <w:rPr>
          <w:rFonts w:cs="Arial"/>
        </w:rPr>
        <w:t>Very Low Income - </w:t>
      </w:r>
      <w:r>
        <w:rPr>
          <w:rFonts w:cs="Arial"/>
          <w:b/>
        </w:rPr>
        <w:t>8</w:t>
      </w:r>
    </w:p>
    <w:p w14:paraId="4906955A" w14:textId="77777777" w:rsidR="006F46BF" w:rsidRDefault="00000000">
      <w:pPr>
        <w:spacing w:beforeAutospacing="1" w:afterAutospacing="1"/>
        <w:rPr>
          <w:rFonts w:cs="Arial"/>
        </w:rPr>
      </w:pPr>
      <w:r>
        <w:rPr>
          <w:rFonts w:cs="Arial"/>
          <w:b/>
          <w:i/>
        </w:rPr>
        <w:t>NHSH Home Repair (CDBG funded):</w:t>
      </w:r>
    </w:p>
    <w:p w14:paraId="1C9C7AC2" w14:textId="77777777" w:rsidR="006F46BF" w:rsidRDefault="00000000">
      <w:pPr>
        <w:spacing w:beforeAutospacing="1" w:afterAutospacing="1"/>
        <w:rPr>
          <w:rFonts w:cs="Arial"/>
        </w:rPr>
      </w:pPr>
      <w:r>
        <w:rPr>
          <w:rFonts w:cs="Arial"/>
        </w:rPr>
        <w:t>Extremely Low-Income - </w:t>
      </w:r>
      <w:r>
        <w:rPr>
          <w:rFonts w:cs="Arial"/>
          <w:b/>
        </w:rPr>
        <w:t>11</w:t>
      </w:r>
    </w:p>
    <w:p w14:paraId="3A1E2EE2" w14:textId="77777777" w:rsidR="006F46BF" w:rsidRDefault="00000000">
      <w:pPr>
        <w:spacing w:beforeAutospacing="1" w:afterAutospacing="1"/>
        <w:rPr>
          <w:rFonts w:cs="Arial"/>
        </w:rPr>
      </w:pPr>
      <w:r>
        <w:rPr>
          <w:rFonts w:cs="Arial"/>
        </w:rPr>
        <w:t>Very Low Income - </w:t>
      </w:r>
      <w:r>
        <w:rPr>
          <w:rFonts w:cs="Arial"/>
          <w:b/>
        </w:rPr>
        <w:t>3</w:t>
      </w:r>
    </w:p>
    <w:p w14:paraId="32F955BD" w14:textId="77777777" w:rsidR="006F46BF" w:rsidRDefault="00000000">
      <w:pPr>
        <w:spacing w:beforeAutospacing="1" w:afterAutospacing="1"/>
        <w:rPr>
          <w:rFonts w:cs="Arial"/>
        </w:rPr>
      </w:pPr>
      <w:r>
        <w:rPr>
          <w:rFonts w:cs="Arial"/>
          <w:b/>
          <w:i/>
        </w:rPr>
        <w:t>SELF (CDBG funded):</w:t>
      </w:r>
    </w:p>
    <w:p w14:paraId="225B11FF" w14:textId="77777777" w:rsidR="006F46BF" w:rsidRDefault="00000000">
      <w:pPr>
        <w:spacing w:beforeAutospacing="1" w:afterAutospacing="1"/>
        <w:rPr>
          <w:rFonts w:cs="Arial"/>
        </w:rPr>
      </w:pPr>
      <w:r>
        <w:rPr>
          <w:rFonts w:cs="Arial"/>
        </w:rPr>
        <w:t>Extremely Low-Income - </w:t>
      </w:r>
      <w:r>
        <w:rPr>
          <w:rFonts w:cs="Arial"/>
          <w:b/>
        </w:rPr>
        <w:t>18</w:t>
      </w:r>
    </w:p>
    <w:p w14:paraId="1ACE316A" w14:textId="77777777" w:rsidR="006F46BF" w:rsidRDefault="00000000">
      <w:pPr>
        <w:spacing w:beforeAutospacing="1" w:afterAutospacing="1"/>
        <w:rPr>
          <w:rFonts w:cs="Arial"/>
        </w:rPr>
      </w:pPr>
      <w:r>
        <w:rPr>
          <w:rFonts w:cs="Arial"/>
        </w:rPr>
        <w:t>Very Low-Income - </w:t>
      </w:r>
      <w:r>
        <w:rPr>
          <w:rFonts w:cs="Arial"/>
          <w:b/>
        </w:rPr>
        <w:t>12</w:t>
      </w:r>
    </w:p>
    <w:p w14:paraId="734A77D0" w14:textId="77777777" w:rsidR="006F46BF" w:rsidRDefault="006F46BF">
      <w:pPr>
        <w:spacing w:beforeAutospacing="1" w:afterAutospacing="1"/>
        <w:rPr>
          <w:rFonts w:cs="Arial"/>
        </w:rPr>
      </w:pPr>
    </w:p>
    <w:p w14:paraId="0AE34B45" w14:textId="77777777" w:rsidR="006F46BF" w:rsidRDefault="006F46BF">
      <w:pPr>
        <w:rPr>
          <w:rFonts w:cs="Arial"/>
        </w:rPr>
      </w:pPr>
    </w:p>
    <w:p w14:paraId="4CCB4E56" w14:textId="77777777" w:rsidR="006F46BF" w:rsidRDefault="006F46BF">
      <w:pPr>
        <w:pStyle w:val="Heading2"/>
        <w:pageBreakBefore/>
        <w:rPr>
          <w:rFonts w:ascii="Calibri" w:hAnsi="Calibri"/>
          <w:i w:val="0"/>
        </w:rPr>
        <w:sectPr w:rsidR="006F46BF">
          <w:pgSz w:w="12240" w:h="15840" w:code="1"/>
          <w:pgMar w:top="1440" w:right="1440" w:bottom="1440" w:left="1440" w:header="720" w:footer="720" w:gutter="0"/>
          <w:cols w:space="720"/>
          <w:docGrid w:linePitch="360"/>
        </w:sectPr>
      </w:pPr>
    </w:p>
    <w:bookmarkEnd w:id="1"/>
    <w:p w14:paraId="2E8922E4" w14:textId="77777777" w:rsidR="006F46BF" w:rsidRDefault="00000000">
      <w:pPr>
        <w:pStyle w:val="Heading2"/>
        <w:pageBreakBefore/>
        <w:widowControl w:val="0"/>
        <w:rPr>
          <w:rFonts w:ascii="Calibri" w:hAnsi="Calibri"/>
          <w:i w:val="0"/>
        </w:rPr>
      </w:pPr>
      <w:r>
        <w:rPr>
          <w:rFonts w:ascii="Calibri" w:hAnsi="Calibri"/>
          <w:i w:val="0"/>
        </w:rPr>
        <w:lastRenderedPageBreak/>
        <w:t>CR-25 - Homeless and Other Special Needs 91.220(d, e); 91.320(d, e); 91.520(c)</w:t>
      </w:r>
    </w:p>
    <w:p w14:paraId="5E0C6303" w14:textId="77777777" w:rsidR="006F46BF" w:rsidRDefault="00000000">
      <w:pPr>
        <w:keepNext/>
        <w:widowControl w:val="0"/>
        <w:rPr>
          <w:b/>
          <w:sz w:val="24"/>
          <w:szCs w:val="24"/>
        </w:rPr>
      </w:pPr>
      <w:r>
        <w:rPr>
          <w:b/>
          <w:sz w:val="24"/>
          <w:szCs w:val="24"/>
        </w:rPr>
        <w:t>Evaluate the jurisdiction’s progress in meeting its specific objectives for reducing and ending homelessness through:</w:t>
      </w:r>
    </w:p>
    <w:p w14:paraId="1C3F504B" w14:textId="77777777" w:rsidR="006F46BF" w:rsidRDefault="00000000">
      <w:pPr>
        <w:widowControl w:val="0"/>
        <w:rPr>
          <w:b/>
          <w:sz w:val="24"/>
          <w:szCs w:val="24"/>
        </w:rPr>
      </w:pPr>
      <w:r>
        <w:rPr>
          <w:b/>
          <w:sz w:val="24"/>
          <w:szCs w:val="24"/>
        </w:rPr>
        <w:t>Reaching out to homeless persons (especially unsheltered persons) and assessing their individual needs</w:t>
      </w:r>
    </w:p>
    <w:p w14:paraId="43F81DCB" w14:textId="77777777" w:rsidR="006F46BF" w:rsidRDefault="00000000">
      <w:pPr>
        <w:widowControl w:val="0"/>
        <w:spacing w:beforeAutospacing="1" w:afterAutospacing="1"/>
        <w:rPr>
          <w:rFonts w:cs="Arial"/>
        </w:rPr>
      </w:pPr>
      <w:r>
        <w:rPr>
          <w:rFonts w:cs="Arial"/>
        </w:rPr>
        <w:t>The City of Hamilton is an active participant in the Butler County Homeless and Housing Coalition (BCHHC) – the “Continuum of Care” organization for the area.  BCHHC receives funding from the “Balance of State Continuum of Care” process through the Ohio Department of Development.  In addition, the City of Hamilton provides financial assistance to some City-based member agencies.</w:t>
      </w:r>
    </w:p>
    <w:p w14:paraId="209BD8B4" w14:textId="77777777" w:rsidR="006F46BF" w:rsidRDefault="00000000">
      <w:pPr>
        <w:widowControl w:val="0"/>
        <w:spacing w:beforeAutospacing="1" w:afterAutospacing="1"/>
        <w:rPr>
          <w:rFonts w:cs="Arial"/>
        </w:rPr>
      </w:pPr>
      <w:r>
        <w:rPr>
          <w:rFonts w:cs="Arial"/>
        </w:rPr>
        <w:t>These are some objectives under the strategic plan for our Continuum of Care.</w:t>
      </w:r>
      <w:r>
        <w:rPr>
          <w:rFonts w:cs="Arial"/>
          <w:b/>
        </w:rPr>
        <w:br/>
        <w:t> </w:t>
      </w:r>
    </w:p>
    <w:p w14:paraId="15D530B5" w14:textId="77777777" w:rsidR="006F46BF" w:rsidRDefault="00000000">
      <w:pPr>
        <w:widowControl w:val="0"/>
        <w:numPr>
          <w:ilvl w:val="0"/>
          <w:numId w:val="3"/>
        </w:numPr>
        <w:spacing w:beforeAutospacing="1" w:afterAutospacing="1"/>
        <w:rPr>
          <w:rFonts w:cs="Arial"/>
        </w:rPr>
      </w:pPr>
      <w:r>
        <w:rPr>
          <w:rFonts w:cs="Arial"/>
        </w:rPr>
        <w:t>Maintain the level of Section 8 vouchers for low income and/or homeless individuals and families.</w:t>
      </w:r>
    </w:p>
    <w:p w14:paraId="2EBA55E3" w14:textId="77777777" w:rsidR="006F46BF" w:rsidRDefault="00000000">
      <w:pPr>
        <w:widowControl w:val="0"/>
        <w:numPr>
          <w:ilvl w:val="0"/>
          <w:numId w:val="3"/>
        </w:numPr>
        <w:spacing w:beforeAutospacing="1" w:afterAutospacing="1"/>
        <w:rPr>
          <w:rFonts w:cs="Arial"/>
        </w:rPr>
      </w:pPr>
      <w:r>
        <w:rPr>
          <w:rFonts w:cs="Arial"/>
        </w:rPr>
        <w:t>Securing safe and affordable housing and coordinate with local and regional housing and service providers.</w:t>
      </w:r>
    </w:p>
    <w:p w14:paraId="3D7DBFE7" w14:textId="77777777" w:rsidR="006F46BF" w:rsidRDefault="00000000">
      <w:pPr>
        <w:widowControl w:val="0"/>
        <w:numPr>
          <w:ilvl w:val="0"/>
          <w:numId w:val="3"/>
        </w:numPr>
        <w:spacing w:beforeAutospacing="1" w:afterAutospacing="1"/>
        <w:rPr>
          <w:rFonts w:cs="Arial"/>
        </w:rPr>
      </w:pPr>
      <w:r>
        <w:rPr>
          <w:rFonts w:cs="Arial"/>
        </w:rPr>
        <w:t>Partner regionally to provide financial assistance for outreach and appropriate services to assist the homeless to end chronic homelessness.</w:t>
      </w:r>
    </w:p>
    <w:p w14:paraId="1C37E3FA" w14:textId="77777777" w:rsidR="006F46BF" w:rsidRDefault="00000000">
      <w:pPr>
        <w:widowControl w:val="0"/>
        <w:rPr>
          <w:b/>
          <w:sz w:val="24"/>
          <w:szCs w:val="24"/>
        </w:rPr>
      </w:pPr>
      <w:r>
        <w:rPr>
          <w:b/>
          <w:sz w:val="24"/>
          <w:szCs w:val="24"/>
        </w:rPr>
        <w:t>Addressing the emergency shelter and transitional housing needs of homeless persons</w:t>
      </w:r>
    </w:p>
    <w:p w14:paraId="2731A63E" w14:textId="77777777" w:rsidR="006F46BF" w:rsidRDefault="00000000">
      <w:pPr>
        <w:widowControl w:val="0"/>
        <w:spacing w:beforeAutospacing="1" w:afterAutospacing="1"/>
        <w:rPr>
          <w:rFonts w:cs="Arial"/>
        </w:rPr>
      </w:pPr>
      <w:r>
        <w:rPr>
          <w:rFonts w:cs="Arial"/>
        </w:rPr>
        <w:t>FY 2023 Point in Time Data reveals that approximately 1067 under all applicable Projects participating in the PIT. Specific data may be found in the attached chart.  </w:t>
      </w:r>
    </w:p>
    <w:tbl>
      <w:tblPr>
        <w:tblStyle w:val="TableGrid"/>
        <w:tblW w:w="0" w:type="auto"/>
        <w:tblLook w:val="04A0" w:firstRow="1" w:lastRow="0" w:firstColumn="1" w:lastColumn="0" w:noHBand="0" w:noVBand="1"/>
      </w:tblPr>
      <w:tblGrid>
        <w:gridCol w:w="4255"/>
        <w:gridCol w:w="640"/>
      </w:tblGrid>
      <w:tr w:rsidR="006F46BF" w14:paraId="3B796F78" w14:textId="77777777">
        <w:trPr>
          <w:cantSplit/>
        </w:trPr>
        <w:tc>
          <w:tcPr>
            <w:tcW w:w="0" w:type="auto"/>
          </w:tcPr>
          <w:p w14:paraId="36C369BF" w14:textId="77777777" w:rsidR="006F46BF" w:rsidRDefault="00000000">
            <w:pPr>
              <w:widowControl w:val="0"/>
              <w:spacing w:after="0"/>
              <w:rPr>
                <w:rFonts w:cs="Arial"/>
              </w:rPr>
            </w:pPr>
            <w:r>
              <w:rPr>
                <w:rFonts w:cs="Arial"/>
                <w:b/>
              </w:rPr>
              <w:t>Number of Persons Served</w:t>
            </w:r>
          </w:p>
        </w:tc>
        <w:tc>
          <w:tcPr>
            <w:tcW w:w="0" w:type="auto"/>
          </w:tcPr>
          <w:p w14:paraId="01BC9A55" w14:textId="77777777" w:rsidR="006F46BF" w:rsidRDefault="00000000">
            <w:pPr>
              <w:widowControl w:val="0"/>
              <w:spacing w:after="0"/>
              <w:rPr>
                <w:rFonts w:cs="Arial"/>
              </w:rPr>
            </w:pPr>
            <w:r>
              <w:rPr>
                <w:rFonts w:cs="Arial"/>
                <w:b/>
              </w:rPr>
              <w:t>Total</w:t>
            </w:r>
          </w:p>
        </w:tc>
      </w:tr>
      <w:tr w:rsidR="006F46BF" w14:paraId="6E018B28" w14:textId="77777777">
        <w:trPr>
          <w:cantSplit/>
        </w:trPr>
        <w:tc>
          <w:tcPr>
            <w:tcW w:w="0" w:type="auto"/>
          </w:tcPr>
          <w:p w14:paraId="3CB6181A" w14:textId="77777777" w:rsidR="006F46BF" w:rsidRDefault="00000000">
            <w:pPr>
              <w:widowControl w:val="0"/>
              <w:spacing w:after="0"/>
              <w:rPr>
                <w:rFonts w:cs="Arial"/>
              </w:rPr>
            </w:pPr>
            <w:r>
              <w:rPr>
                <w:rFonts w:cs="Arial"/>
              </w:rPr>
              <w:t>Adults</w:t>
            </w:r>
          </w:p>
        </w:tc>
        <w:tc>
          <w:tcPr>
            <w:tcW w:w="0" w:type="auto"/>
          </w:tcPr>
          <w:p w14:paraId="30C76F31" w14:textId="77777777" w:rsidR="006F46BF" w:rsidRDefault="00000000">
            <w:pPr>
              <w:widowControl w:val="0"/>
              <w:spacing w:after="0"/>
              <w:rPr>
                <w:rFonts w:cs="Arial"/>
              </w:rPr>
            </w:pPr>
            <w:r>
              <w:rPr>
                <w:rFonts w:cs="Arial"/>
              </w:rPr>
              <w:t>935</w:t>
            </w:r>
          </w:p>
        </w:tc>
      </w:tr>
      <w:tr w:rsidR="006F46BF" w14:paraId="4DF31450" w14:textId="77777777">
        <w:trPr>
          <w:cantSplit/>
        </w:trPr>
        <w:tc>
          <w:tcPr>
            <w:tcW w:w="0" w:type="auto"/>
          </w:tcPr>
          <w:p w14:paraId="4C446E00" w14:textId="77777777" w:rsidR="006F46BF" w:rsidRDefault="00000000">
            <w:pPr>
              <w:widowControl w:val="0"/>
              <w:spacing w:after="0"/>
              <w:rPr>
                <w:rFonts w:cs="Arial"/>
              </w:rPr>
            </w:pPr>
            <w:r>
              <w:rPr>
                <w:rFonts w:cs="Arial"/>
              </w:rPr>
              <w:t>Children</w:t>
            </w:r>
          </w:p>
        </w:tc>
        <w:tc>
          <w:tcPr>
            <w:tcW w:w="0" w:type="auto"/>
          </w:tcPr>
          <w:p w14:paraId="783CC233" w14:textId="77777777" w:rsidR="006F46BF" w:rsidRDefault="00000000">
            <w:pPr>
              <w:widowControl w:val="0"/>
              <w:spacing w:after="0"/>
              <w:rPr>
                <w:rFonts w:cs="Arial"/>
              </w:rPr>
            </w:pPr>
            <w:r>
              <w:rPr>
                <w:rFonts w:cs="Arial"/>
              </w:rPr>
              <w:t>129</w:t>
            </w:r>
          </w:p>
        </w:tc>
      </w:tr>
      <w:tr w:rsidR="006F46BF" w14:paraId="19A06112" w14:textId="77777777">
        <w:trPr>
          <w:cantSplit/>
        </w:trPr>
        <w:tc>
          <w:tcPr>
            <w:tcW w:w="0" w:type="auto"/>
          </w:tcPr>
          <w:p w14:paraId="015F2F96" w14:textId="77777777" w:rsidR="006F46BF" w:rsidRDefault="00000000">
            <w:pPr>
              <w:widowControl w:val="0"/>
              <w:spacing w:after="0"/>
              <w:rPr>
                <w:rFonts w:cs="Arial"/>
              </w:rPr>
            </w:pPr>
            <w:r>
              <w:rPr>
                <w:rFonts w:cs="Arial"/>
              </w:rPr>
              <w:t>Client Doesn't Know/Client Refused</w:t>
            </w:r>
          </w:p>
        </w:tc>
        <w:tc>
          <w:tcPr>
            <w:tcW w:w="0" w:type="auto"/>
          </w:tcPr>
          <w:p w14:paraId="3BB13DE5" w14:textId="77777777" w:rsidR="006F46BF" w:rsidRDefault="00000000">
            <w:pPr>
              <w:widowControl w:val="0"/>
              <w:spacing w:after="0"/>
              <w:rPr>
                <w:rFonts w:cs="Arial"/>
              </w:rPr>
            </w:pPr>
            <w:r>
              <w:rPr>
                <w:rFonts w:cs="Arial"/>
              </w:rPr>
              <w:t>1</w:t>
            </w:r>
          </w:p>
        </w:tc>
      </w:tr>
      <w:tr w:rsidR="006F46BF" w14:paraId="6080EC4F" w14:textId="77777777">
        <w:trPr>
          <w:cantSplit/>
        </w:trPr>
        <w:tc>
          <w:tcPr>
            <w:tcW w:w="0" w:type="auto"/>
          </w:tcPr>
          <w:p w14:paraId="38B8BD8A" w14:textId="77777777" w:rsidR="006F46BF" w:rsidRDefault="00000000">
            <w:pPr>
              <w:widowControl w:val="0"/>
              <w:spacing w:after="0"/>
              <w:rPr>
                <w:rFonts w:cs="Arial"/>
              </w:rPr>
            </w:pPr>
            <w:r>
              <w:rPr>
                <w:rFonts w:cs="Arial"/>
              </w:rPr>
              <w:t>Data Not Collected</w:t>
            </w:r>
          </w:p>
        </w:tc>
        <w:tc>
          <w:tcPr>
            <w:tcW w:w="0" w:type="auto"/>
          </w:tcPr>
          <w:p w14:paraId="224C3459" w14:textId="77777777" w:rsidR="006F46BF" w:rsidRDefault="00000000">
            <w:pPr>
              <w:widowControl w:val="0"/>
              <w:spacing w:after="0"/>
              <w:rPr>
                <w:rFonts w:cs="Arial"/>
              </w:rPr>
            </w:pPr>
            <w:r>
              <w:rPr>
                <w:rFonts w:cs="Arial"/>
              </w:rPr>
              <w:t>2</w:t>
            </w:r>
          </w:p>
        </w:tc>
      </w:tr>
      <w:tr w:rsidR="006F46BF" w14:paraId="66225496" w14:textId="77777777">
        <w:trPr>
          <w:cantSplit/>
        </w:trPr>
        <w:tc>
          <w:tcPr>
            <w:tcW w:w="0" w:type="auto"/>
          </w:tcPr>
          <w:p w14:paraId="4CF67275" w14:textId="77777777" w:rsidR="006F46BF" w:rsidRDefault="00000000">
            <w:pPr>
              <w:widowControl w:val="0"/>
              <w:spacing w:after="0"/>
              <w:rPr>
                <w:rFonts w:cs="Arial"/>
              </w:rPr>
            </w:pPr>
            <w:r>
              <w:rPr>
                <w:rFonts w:cs="Arial"/>
              </w:rPr>
              <w:t>Total</w:t>
            </w:r>
          </w:p>
        </w:tc>
        <w:tc>
          <w:tcPr>
            <w:tcW w:w="0" w:type="auto"/>
          </w:tcPr>
          <w:p w14:paraId="2591D197" w14:textId="77777777" w:rsidR="006F46BF" w:rsidRDefault="00000000">
            <w:pPr>
              <w:widowControl w:val="0"/>
              <w:spacing w:after="0"/>
              <w:rPr>
                <w:rFonts w:cs="Arial"/>
              </w:rPr>
            </w:pPr>
            <w:r>
              <w:rPr>
                <w:rFonts w:cs="Arial"/>
              </w:rPr>
              <w:t>1067</w:t>
            </w:r>
          </w:p>
        </w:tc>
      </w:tr>
      <w:tr w:rsidR="006F46BF" w14:paraId="3C8E6E5F" w14:textId="77777777">
        <w:trPr>
          <w:cantSplit/>
        </w:trPr>
        <w:tc>
          <w:tcPr>
            <w:tcW w:w="0" w:type="auto"/>
          </w:tcPr>
          <w:p w14:paraId="4E13EA50" w14:textId="77777777" w:rsidR="006F46BF" w:rsidRDefault="006F46BF">
            <w:pPr>
              <w:widowControl w:val="0"/>
              <w:spacing w:after="0"/>
              <w:rPr>
                <w:rFonts w:cs="Arial"/>
              </w:rPr>
            </w:pPr>
          </w:p>
        </w:tc>
        <w:tc>
          <w:tcPr>
            <w:tcW w:w="0" w:type="auto"/>
          </w:tcPr>
          <w:p w14:paraId="6D10E783" w14:textId="77777777" w:rsidR="006F46BF" w:rsidRDefault="006F46BF">
            <w:pPr>
              <w:widowControl w:val="0"/>
              <w:spacing w:after="0"/>
              <w:rPr>
                <w:rFonts w:cs="Arial"/>
              </w:rPr>
            </w:pPr>
          </w:p>
        </w:tc>
      </w:tr>
      <w:tr w:rsidR="006F46BF" w14:paraId="2584CB22" w14:textId="77777777">
        <w:trPr>
          <w:cantSplit/>
        </w:trPr>
        <w:tc>
          <w:tcPr>
            <w:tcW w:w="0" w:type="auto"/>
          </w:tcPr>
          <w:p w14:paraId="3F2D0E00" w14:textId="77777777" w:rsidR="006F46BF" w:rsidRDefault="00000000">
            <w:pPr>
              <w:widowControl w:val="0"/>
              <w:spacing w:after="0"/>
              <w:rPr>
                <w:rFonts w:cs="Arial"/>
              </w:rPr>
            </w:pPr>
            <w:r>
              <w:rPr>
                <w:rFonts w:cs="Arial"/>
              </w:rPr>
              <w:t>Race</w:t>
            </w:r>
          </w:p>
        </w:tc>
        <w:tc>
          <w:tcPr>
            <w:tcW w:w="0" w:type="auto"/>
          </w:tcPr>
          <w:p w14:paraId="3E7EE786" w14:textId="77777777" w:rsidR="006F46BF" w:rsidRDefault="00000000">
            <w:pPr>
              <w:widowControl w:val="0"/>
              <w:spacing w:after="0"/>
              <w:rPr>
                <w:rFonts w:cs="Arial"/>
              </w:rPr>
            </w:pPr>
            <w:r>
              <w:rPr>
                <w:rFonts w:cs="Arial"/>
              </w:rPr>
              <w:t>Total</w:t>
            </w:r>
          </w:p>
        </w:tc>
      </w:tr>
      <w:tr w:rsidR="006F46BF" w14:paraId="67183C57" w14:textId="77777777">
        <w:trPr>
          <w:cantSplit/>
        </w:trPr>
        <w:tc>
          <w:tcPr>
            <w:tcW w:w="0" w:type="auto"/>
          </w:tcPr>
          <w:p w14:paraId="7271ADD1" w14:textId="77777777" w:rsidR="006F46BF" w:rsidRDefault="00000000">
            <w:pPr>
              <w:widowControl w:val="0"/>
              <w:spacing w:after="0"/>
              <w:rPr>
                <w:rFonts w:cs="Arial"/>
              </w:rPr>
            </w:pPr>
            <w:r>
              <w:rPr>
                <w:rFonts w:cs="Arial"/>
              </w:rPr>
              <w:t>White</w:t>
            </w:r>
          </w:p>
        </w:tc>
        <w:tc>
          <w:tcPr>
            <w:tcW w:w="0" w:type="auto"/>
          </w:tcPr>
          <w:p w14:paraId="0E261C4C" w14:textId="77777777" w:rsidR="006F46BF" w:rsidRDefault="00000000">
            <w:pPr>
              <w:widowControl w:val="0"/>
              <w:spacing w:after="0"/>
              <w:rPr>
                <w:rFonts w:cs="Arial"/>
              </w:rPr>
            </w:pPr>
            <w:r>
              <w:rPr>
                <w:rFonts w:cs="Arial"/>
              </w:rPr>
              <w:t>769</w:t>
            </w:r>
          </w:p>
        </w:tc>
      </w:tr>
      <w:tr w:rsidR="006F46BF" w14:paraId="785D88C7" w14:textId="77777777">
        <w:trPr>
          <w:cantSplit/>
        </w:trPr>
        <w:tc>
          <w:tcPr>
            <w:tcW w:w="0" w:type="auto"/>
          </w:tcPr>
          <w:p w14:paraId="27CFC04E" w14:textId="77777777" w:rsidR="006F46BF" w:rsidRDefault="00000000">
            <w:pPr>
              <w:widowControl w:val="0"/>
              <w:spacing w:after="0"/>
              <w:rPr>
                <w:rFonts w:cs="Arial"/>
              </w:rPr>
            </w:pPr>
            <w:r>
              <w:rPr>
                <w:rFonts w:cs="Arial"/>
              </w:rPr>
              <w:t>Black, African American, or African</w:t>
            </w:r>
          </w:p>
        </w:tc>
        <w:tc>
          <w:tcPr>
            <w:tcW w:w="0" w:type="auto"/>
          </w:tcPr>
          <w:p w14:paraId="68113CFC" w14:textId="77777777" w:rsidR="006F46BF" w:rsidRDefault="00000000">
            <w:pPr>
              <w:widowControl w:val="0"/>
              <w:spacing w:after="0"/>
              <w:rPr>
                <w:rFonts w:cs="Arial"/>
              </w:rPr>
            </w:pPr>
            <w:r>
              <w:rPr>
                <w:rFonts w:cs="Arial"/>
              </w:rPr>
              <w:t>249</w:t>
            </w:r>
          </w:p>
        </w:tc>
      </w:tr>
      <w:tr w:rsidR="006F46BF" w14:paraId="10D8C75E" w14:textId="77777777">
        <w:trPr>
          <w:cantSplit/>
        </w:trPr>
        <w:tc>
          <w:tcPr>
            <w:tcW w:w="0" w:type="auto"/>
          </w:tcPr>
          <w:p w14:paraId="37553673" w14:textId="77777777" w:rsidR="006F46BF" w:rsidRDefault="00000000">
            <w:pPr>
              <w:widowControl w:val="0"/>
              <w:spacing w:after="0"/>
              <w:rPr>
                <w:rFonts w:cs="Arial"/>
              </w:rPr>
            </w:pPr>
            <w:r>
              <w:rPr>
                <w:rFonts w:cs="Arial"/>
              </w:rPr>
              <w:t>Asian or Asian American</w:t>
            </w:r>
          </w:p>
        </w:tc>
        <w:tc>
          <w:tcPr>
            <w:tcW w:w="0" w:type="auto"/>
          </w:tcPr>
          <w:p w14:paraId="5B16B2DE" w14:textId="77777777" w:rsidR="006F46BF" w:rsidRDefault="00000000">
            <w:pPr>
              <w:widowControl w:val="0"/>
              <w:spacing w:after="0"/>
              <w:rPr>
                <w:rFonts w:cs="Arial"/>
              </w:rPr>
            </w:pPr>
            <w:r>
              <w:rPr>
                <w:rFonts w:cs="Arial"/>
              </w:rPr>
              <w:t>2</w:t>
            </w:r>
          </w:p>
        </w:tc>
      </w:tr>
      <w:tr w:rsidR="006F46BF" w14:paraId="70991AFF" w14:textId="77777777">
        <w:trPr>
          <w:cantSplit/>
        </w:trPr>
        <w:tc>
          <w:tcPr>
            <w:tcW w:w="0" w:type="auto"/>
          </w:tcPr>
          <w:p w14:paraId="67651705" w14:textId="77777777" w:rsidR="006F46BF" w:rsidRDefault="00000000">
            <w:pPr>
              <w:widowControl w:val="0"/>
              <w:spacing w:after="0"/>
              <w:rPr>
                <w:rFonts w:cs="Arial"/>
              </w:rPr>
            </w:pPr>
            <w:r>
              <w:rPr>
                <w:rFonts w:cs="Arial"/>
              </w:rPr>
              <w:t xml:space="preserve">American Indian, </w:t>
            </w:r>
            <w:proofErr w:type="spellStart"/>
            <w:r>
              <w:rPr>
                <w:rFonts w:cs="Arial"/>
              </w:rPr>
              <w:t>ALaska</w:t>
            </w:r>
            <w:proofErr w:type="spellEnd"/>
            <w:r>
              <w:rPr>
                <w:rFonts w:cs="Arial"/>
              </w:rPr>
              <w:t xml:space="preserve"> Native or Pacific Islander</w:t>
            </w:r>
          </w:p>
        </w:tc>
        <w:tc>
          <w:tcPr>
            <w:tcW w:w="0" w:type="auto"/>
          </w:tcPr>
          <w:p w14:paraId="2C310BA9" w14:textId="77777777" w:rsidR="006F46BF" w:rsidRDefault="00000000">
            <w:pPr>
              <w:widowControl w:val="0"/>
              <w:spacing w:after="0"/>
              <w:rPr>
                <w:rFonts w:cs="Arial"/>
              </w:rPr>
            </w:pPr>
            <w:r>
              <w:rPr>
                <w:rFonts w:cs="Arial"/>
              </w:rPr>
              <w:t>7</w:t>
            </w:r>
          </w:p>
        </w:tc>
      </w:tr>
      <w:tr w:rsidR="006F46BF" w14:paraId="029DEA24" w14:textId="77777777">
        <w:trPr>
          <w:cantSplit/>
        </w:trPr>
        <w:tc>
          <w:tcPr>
            <w:tcW w:w="0" w:type="auto"/>
          </w:tcPr>
          <w:p w14:paraId="3CADA937" w14:textId="77777777" w:rsidR="006F46BF" w:rsidRDefault="00000000">
            <w:pPr>
              <w:widowControl w:val="0"/>
              <w:spacing w:after="0"/>
              <w:rPr>
                <w:rFonts w:cs="Arial"/>
              </w:rPr>
            </w:pPr>
            <w:r>
              <w:rPr>
                <w:rFonts w:cs="Arial"/>
              </w:rPr>
              <w:t>Multiple Races</w:t>
            </w:r>
          </w:p>
        </w:tc>
        <w:tc>
          <w:tcPr>
            <w:tcW w:w="0" w:type="auto"/>
          </w:tcPr>
          <w:p w14:paraId="6D417121" w14:textId="77777777" w:rsidR="006F46BF" w:rsidRDefault="00000000">
            <w:pPr>
              <w:widowControl w:val="0"/>
              <w:spacing w:after="0"/>
              <w:rPr>
                <w:rFonts w:cs="Arial"/>
              </w:rPr>
            </w:pPr>
            <w:r>
              <w:rPr>
                <w:rFonts w:cs="Arial"/>
              </w:rPr>
              <w:t>35</w:t>
            </w:r>
          </w:p>
        </w:tc>
      </w:tr>
      <w:tr w:rsidR="006F46BF" w14:paraId="31CD6171" w14:textId="77777777">
        <w:trPr>
          <w:cantSplit/>
        </w:trPr>
        <w:tc>
          <w:tcPr>
            <w:tcW w:w="0" w:type="auto"/>
          </w:tcPr>
          <w:p w14:paraId="7F2C10F6" w14:textId="77777777" w:rsidR="006F46BF" w:rsidRDefault="00000000">
            <w:pPr>
              <w:widowControl w:val="0"/>
              <w:spacing w:after="0"/>
              <w:rPr>
                <w:rFonts w:cs="Arial"/>
              </w:rPr>
            </w:pPr>
            <w:r>
              <w:rPr>
                <w:rFonts w:cs="Arial"/>
              </w:rPr>
              <w:t>Client Doesn't Know/Client Refused</w:t>
            </w:r>
          </w:p>
        </w:tc>
        <w:tc>
          <w:tcPr>
            <w:tcW w:w="0" w:type="auto"/>
          </w:tcPr>
          <w:p w14:paraId="58939BD0" w14:textId="77777777" w:rsidR="006F46BF" w:rsidRDefault="00000000">
            <w:pPr>
              <w:widowControl w:val="0"/>
              <w:spacing w:after="0"/>
              <w:rPr>
                <w:rFonts w:cs="Arial"/>
              </w:rPr>
            </w:pPr>
            <w:r>
              <w:rPr>
                <w:rFonts w:cs="Arial"/>
              </w:rPr>
              <w:t>2</w:t>
            </w:r>
          </w:p>
        </w:tc>
      </w:tr>
      <w:tr w:rsidR="006F46BF" w14:paraId="5BE3DCE4" w14:textId="77777777">
        <w:trPr>
          <w:cantSplit/>
        </w:trPr>
        <w:tc>
          <w:tcPr>
            <w:tcW w:w="0" w:type="auto"/>
          </w:tcPr>
          <w:p w14:paraId="2F1FEE97" w14:textId="77777777" w:rsidR="006F46BF" w:rsidRDefault="00000000">
            <w:pPr>
              <w:widowControl w:val="0"/>
              <w:spacing w:after="0"/>
              <w:rPr>
                <w:rFonts w:cs="Arial"/>
              </w:rPr>
            </w:pPr>
            <w:r>
              <w:rPr>
                <w:rFonts w:cs="Arial"/>
              </w:rPr>
              <w:t>Data Not Collected</w:t>
            </w:r>
          </w:p>
        </w:tc>
        <w:tc>
          <w:tcPr>
            <w:tcW w:w="0" w:type="auto"/>
          </w:tcPr>
          <w:p w14:paraId="7710D5B8" w14:textId="77777777" w:rsidR="006F46BF" w:rsidRDefault="00000000">
            <w:pPr>
              <w:widowControl w:val="0"/>
              <w:spacing w:after="0"/>
              <w:rPr>
                <w:rFonts w:cs="Arial"/>
              </w:rPr>
            </w:pPr>
            <w:r>
              <w:rPr>
                <w:rFonts w:cs="Arial"/>
              </w:rPr>
              <w:t>0</w:t>
            </w:r>
          </w:p>
        </w:tc>
      </w:tr>
      <w:tr w:rsidR="006F46BF" w14:paraId="4F9E64F6" w14:textId="77777777">
        <w:trPr>
          <w:cantSplit/>
        </w:trPr>
        <w:tc>
          <w:tcPr>
            <w:tcW w:w="0" w:type="auto"/>
          </w:tcPr>
          <w:p w14:paraId="4F9E0A24" w14:textId="77777777" w:rsidR="006F46BF" w:rsidRDefault="00000000">
            <w:pPr>
              <w:widowControl w:val="0"/>
              <w:spacing w:after="0"/>
              <w:rPr>
                <w:rFonts w:cs="Arial"/>
              </w:rPr>
            </w:pPr>
            <w:r>
              <w:rPr>
                <w:rFonts w:cs="Arial"/>
              </w:rPr>
              <w:lastRenderedPageBreak/>
              <w:t>Total</w:t>
            </w:r>
          </w:p>
        </w:tc>
        <w:tc>
          <w:tcPr>
            <w:tcW w:w="0" w:type="auto"/>
          </w:tcPr>
          <w:p w14:paraId="7CF7F5D2" w14:textId="77777777" w:rsidR="006F46BF" w:rsidRDefault="00000000">
            <w:pPr>
              <w:widowControl w:val="0"/>
              <w:spacing w:after="0"/>
              <w:rPr>
                <w:rFonts w:cs="Arial"/>
              </w:rPr>
            </w:pPr>
            <w:r>
              <w:rPr>
                <w:rFonts w:cs="Arial"/>
              </w:rPr>
              <w:t>1067</w:t>
            </w:r>
          </w:p>
        </w:tc>
      </w:tr>
    </w:tbl>
    <w:p w14:paraId="0A940BF6" w14:textId="77777777" w:rsidR="00A45FEF" w:rsidRDefault="00000000">
      <w:bookmarkStart w:id="2" w:name="_Toc307833504"/>
      <w:r w:rsidRPr="007B35C5">
        <w:rPr>
          <w:b/>
          <w:sz w:val="20"/>
          <w:szCs w:val="20"/>
        </w:rPr>
        <w:t xml:space="preserve">Table </w:t>
      </w:r>
      <w:r w:rsidRPr="003813BF">
        <w:rPr>
          <w:b/>
          <w:sz w:val="20"/>
          <w:szCs w:val="20"/>
        </w:rPr>
        <w:fldChar w:fldCharType="begin"/>
      </w:r>
      <w:r w:rsidRPr="003813BF">
        <w:rPr>
          <w:b/>
          <w:sz w:val="20"/>
          <w:szCs w:val="20"/>
        </w:rPr>
        <w:instrText>SEQ Table \* ARABIC</w:instrText>
      </w:r>
      <w:r w:rsidRPr="003813BF">
        <w:rPr>
          <w:b/>
          <w:sz w:val="20"/>
          <w:szCs w:val="20"/>
        </w:rPr>
        <w:fldChar w:fldCharType="separate"/>
      </w:r>
      <w:r>
        <w:rPr>
          <w:noProof/>
        </w:rPr>
        <w:t>1</w:t>
      </w:r>
      <w:r w:rsidRPr="003813BF">
        <w:rPr>
          <w:b/>
          <w:sz w:val="20"/>
          <w:szCs w:val="20"/>
        </w:rPr>
        <w:fldChar w:fldCharType="end"/>
      </w:r>
      <w:r w:rsidRPr="007B35C5">
        <w:rPr>
          <w:b/>
          <w:sz w:val="20"/>
          <w:szCs w:val="20"/>
        </w:rPr>
        <w:t xml:space="preserve"> - Homeless Persons Demographics FY 2023</w:t>
      </w:r>
      <w:bookmarkEnd w:id="2"/>
    </w:p>
    <w:p w14:paraId="6C9B80A1" w14:textId="77777777" w:rsidR="006F46BF" w:rsidRDefault="00000000">
      <w:pPr>
        <w:widowControl w:val="0"/>
        <w:rPr>
          <w:b/>
          <w:sz w:val="24"/>
          <w:szCs w:val="24"/>
        </w:rPr>
      </w:pPr>
      <w:r>
        <w:rPr>
          <w:b/>
          <w:sz w:val="24"/>
          <w:szCs w:val="24"/>
        </w:rPr>
        <w:t>Helping low-income individuals and families avoid becoming homeless, especially extremely low-income individuals and families and those who are:  likely to become homeless after being discharged from publicly funded institutions and systems of care (such as health care facilities, mental health facilities, foster care and other youth facilities, and corrections programs and institutions);  and,  receiving assistance from public or private agencies that address housing, health, social services, employment, education, or youth needs</w:t>
      </w:r>
    </w:p>
    <w:p w14:paraId="24A29D65" w14:textId="77777777" w:rsidR="006F46BF" w:rsidRDefault="00000000">
      <w:pPr>
        <w:widowControl w:val="0"/>
        <w:spacing w:beforeAutospacing="1" w:afterAutospacing="1"/>
        <w:rPr>
          <w:rFonts w:cs="Arial"/>
        </w:rPr>
      </w:pPr>
      <w:r>
        <w:rPr>
          <w:rFonts w:cs="Arial"/>
        </w:rPr>
        <w:t>The City of Hamilton has invested resources in developing affordable housing not only in the Neighborhood Initiative Area (NIA) but also supported down payment and closing cost assistance through Neighborhood Housing Services (NHS) of Hamilton, Inc.'s, funding for acquisition of vacant properties to be utilized for new development. </w:t>
      </w:r>
    </w:p>
    <w:p w14:paraId="0D7CFDBE" w14:textId="77777777" w:rsidR="006F46BF" w:rsidRDefault="00000000">
      <w:pPr>
        <w:widowControl w:val="0"/>
        <w:spacing w:beforeAutospacing="1" w:afterAutospacing="1"/>
        <w:rPr>
          <w:rFonts w:cs="Arial"/>
        </w:rPr>
      </w:pPr>
      <w:r>
        <w:rPr>
          <w:rFonts w:cs="Arial"/>
        </w:rPr>
        <w:t xml:space="preserve">The </w:t>
      </w:r>
      <w:proofErr w:type="gramStart"/>
      <w:r>
        <w:rPr>
          <w:rFonts w:cs="Arial"/>
        </w:rPr>
        <w:t>City</w:t>
      </w:r>
      <w:proofErr w:type="gramEnd"/>
      <w:r>
        <w:rPr>
          <w:rFonts w:cs="Arial"/>
        </w:rPr>
        <w:t xml:space="preserve"> also invested resources in the development of rental housing in conjunction with NHS. The </w:t>
      </w:r>
      <w:proofErr w:type="gramStart"/>
      <w:r>
        <w:rPr>
          <w:rFonts w:cs="Arial"/>
        </w:rPr>
        <w:t>City</w:t>
      </w:r>
      <w:proofErr w:type="gramEnd"/>
      <w:r>
        <w:rPr>
          <w:rFonts w:cs="Arial"/>
        </w:rPr>
        <w:t xml:space="preserve"> worked with NHS to prioritize neighborhoods, identify sites, and guide the architectural design of rental housing developments.  </w:t>
      </w:r>
    </w:p>
    <w:p w14:paraId="0F1F1188" w14:textId="77777777" w:rsidR="006F46BF" w:rsidRDefault="00000000">
      <w:pPr>
        <w:widowControl w:val="0"/>
        <w:spacing w:beforeAutospacing="1" w:afterAutospacing="1"/>
        <w:rPr>
          <w:rFonts w:cs="Arial"/>
        </w:rPr>
      </w:pPr>
      <w:proofErr w:type="gramStart"/>
      <w:r>
        <w:rPr>
          <w:rFonts w:cs="Arial"/>
        </w:rPr>
        <w:t>In regards to</w:t>
      </w:r>
      <w:proofErr w:type="gramEnd"/>
      <w:r>
        <w:rPr>
          <w:rFonts w:cs="Arial"/>
        </w:rPr>
        <w:t xml:space="preserve"> future investments and partnerships, City NDD staff has reached out and spoken about future partnerships with the Talbert House regarding support to their halfway house programs. The Talbert House runs two halfway homes within the City of Hamilton that provide services to men exiting correctional institutions or are mandated to stay by the </w:t>
      </w:r>
      <w:proofErr w:type="gramStart"/>
      <w:r>
        <w:rPr>
          <w:rFonts w:cs="Arial"/>
        </w:rPr>
        <w:t>Butler county</w:t>
      </w:r>
      <w:proofErr w:type="gramEnd"/>
      <w:r>
        <w:rPr>
          <w:rFonts w:cs="Arial"/>
        </w:rPr>
        <w:t xml:space="preserve"> Probation/Parole Authority. It is anticipated that representatives, if needed, may apply for funding support to fulfill their organization's activities </w:t>
      </w:r>
      <w:proofErr w:type="gramStart"/>
      <w:r>
        <w:rPr>
          <w:rFonts w:cs="Arial"/>
        </w:rPr>
        <w:t>in the near future</w:t>
      </w:r>
      <w:proofErr w:type="gramEnd"/>
      <w:r>
        <w:rPr>
          <w:rFonts w:cs="Arial"/>
        </w:rPr>
        <w:t>. City NDD staff will include the Talbert House on their email list for prospective applicants for CDBG &amp; HOME funds for the FY 23-24 Annual Action Plan process. Due to the recent Coronavirus Pandemic the City has devoted CDBG-CV funds to the stabilization of current residents by providing rental and utility assistance through NHSH. </w:t>
      </w:r>
    </w:p>
    <w:p w14:paraId="35F04807" w14:textId="77777777" w:rsidR="006F46BF" w:rsidRDefault="00000000">
      <w:pPr>
        <w:widowControl w:val="0"/>
        <w:rPr>
          <w:b/>
          <w:sz w:val="24"/>
          <w:szCs w:val="24"/>
        </w:rPr>
      </w:pPr>
      <w:r>
        <w:rPr>
          <w:b/>
          <w:sz w:val="24"/>
          <w:szCs w:val="24"/>
        </w:rPr>
        <w:t>Helping homeless persons (especially chronically homeless individuals and families, families with children, veterans and their families, and unaccompanied youth) make the transition to permanent housing and independent living, including shortening the period of time that individuals and families experience homelessness, facilitating access for homeless individuals and families to affordable housing units, and preventing individuals and families who were recently homeless from becoming homeless again</w:t>
      </w:r>
    </w:p>
    <w:p w14:paraId="5E08022B" w14:textId="77777777" w:rsidR="006F46BF" w:rsidRDefault="00000000">
      <w:pPr>
        <w:widowControl w:val="0"/>
        <w:spacing w:beforeAutospacing="1" w:afterAutospacing="1"/>
        <w:rPr>
          <w:rFonts w:cs="Arial"/>
        </w:rPr>
      </w:pPr>
      <w:r>
        <w:rPr>
          <w:rFonts w:cs="Arial"/>
        </w:rPr>
        <w:t>The City of Hamilton provides direct financial support (</w:t>
      </w:r>
      <w:proofErr w:type="gramStart"/>
      <w:r>
        <w:rPr>
          <w:rFonts w:cs="Arial"/>
        </w:rPr>
        <w:t>i.e.</w:t>
      </w:r>
      <w:proofErr w:type="gramEnd"/>
      <w:r>
        <w:rPr>
          <w:rFonts w:cs="Arial"/>
        </w:rPr>
        <w:t xml:space="preserve"> CDBG funds) to Serve City. Serve City is a local homeless shelter for men and women which provides services in the form of a food pantry, homeless shelter, and housing provider.</w:t>
      </w:r>
    </w:p>
    <w:p w14:paraId="74480C5A" w14:textId="77777777" w:rsidR="006F46BF" w:rsidRDefault="006F46BF">
      <w:pPr>
        <w:widowControl w:val="0"/>
        <w:rPr>
          <w:rFonts w:cs="Arial"/>
          <w:szCs w:val="26"/>
        </w:rPr>
      </w:pPr>
    </w:p>
    <w:p w14:paraId="0B0EC5A5" w14:textId="77777777" w:rsidR="006F46BF" w:rsidRDefault="00000000">
      <w:pPr>
        <w:pStyle w:val="Heading2"/>
        <w:pageBreakBefore/>
        <w:widowControl w:val="0"/>
        <w:rPr>
          <w:rFonts w:ascii="Calibri" w:hAnsi="Calibri"/>
          <w:i w:val="0"/>
        </w:rPr>
      </w:pPr>
      <w:r>
        <w:rPr>
          <w:rFonts w:ascii="Calibri" w:hAnsi="Calibri"/>
          <w:i w:val="0"/>
        </w:rPr>
        <w:lastRenderedPageBreak/>
        <w:t>CR-30 - Public Housing 91.220(h); 91.320(j)</w:t>
      </w:r>
    </w:p>
    <w:p w14:paraId="50C1029D" w14:textId="77777777" w:rsidR="006F46BF" w:rsidRDefault="00000000">
      <w:pPr>
        <w:keepNext/>
        <w:widowControl w:val="0"/>
        <w:rPr>
          <w:b/>
          <w:sz w:val="24"/>
          <w:szCs w:val="24"/>
        </w:rPr>
      </w:pPr>
      <w:r>
        <w:rPr>
          <w:b/>
          <w:sz w:val="24"/>
          <w:szCs w:val="24"/>
        </w:rPr>
        <w:t xml:space="preserve">Actions taken to address the needs of public </w:t>
      </w:r>
      <w:proofErr w:type="gramStart"/>
      <w:r>
        <w:rPr>
          <w:b/>
          <w:sz w:val="24"/>
          <w:szCs w:val="24"/>
        </w:rPr>
        <w:t>housing</w:t>
      </w:r>
      <w:proofErr w:type="gramEnd"/>
    </w:p>
    <w:p w14:paraId="178E194E" w14:textId="77777777" w:rsidR="006F46BF" w:rsidRDefault="00000000">
      <w:pPr>
        <w:keepNext/>
        <w:widowControl w:val="0"/>
        <w:spacing w:beforeAutospacing="1" w:afterAutospacing="1"/>
        <w:rPr>
          <w:rFonts w:cs="Arial"/>
        </w:rPr>
      </w:pPr>
      <w:r>
        <w:rPr>
          <w:rFonts w:cs="Arial"/>
        </w:rPr>
        <w:t>Butler Metropolitan Housing Authority (BMHA) will continue to be responsible for carrying out the Comprehensive Public Housing Grant and Section 8 Voucher programs as well as operating low-income housing units.  BMHA operates countywide and its composition is set by state enabling legislation - one appointment from the largest city, one housing authority resident, one county appointee, one probate judge appointee, and one Court of Common Pleas appointee. </w:t>
      </w:r>
    </w:p>
    <w:p w14:paraId="416D77C3" w14:textId="77777777" w:rsidR="006F46BF" w:rsidRDefault="00000000">
      <w:pPr>
        <w:keepNext/>
        <w:widowControl w:val="0"/>
        <w:spacing w:beforeAutospacing="1" w:afterAutospacing="1"/>
        <w:rPr>
          <w:rFonts w:cs="Arial"/>
        </w:rPr>
      </w:pPr>
      <w:proofErr w:type="gramStart"/>
      <w:r>
        <w:rPr>
          <w:rFonts w:cs="Arial"/>
        </w:rPr>
        <w:t>With the exception of</w:t>
      </w:r>
      <w:proofErr w:type="gramEnd"/>
      <w:r>
        <w:rPr>
          <w:rFonts w:cs="Arial"/>
        </w:rPr>
        <w:t xml:space="preserve"> units in Middletown, Ohio, BMHA owns and operates the majority of housing units in the City of Hamilton. The </w:t>
      </w:r>
      <w:proofErr w:type="gramStart"/>
      <w:r>
        <w:rPr>
          <w:rFonts w:cs="Arial"/>
        </w:rPr>
        <w:t>City</w:t>
      </w:r>
      <w:proofErr w:type="gramEnd"/>
      <w:r>
        <w:rPr>
          <w:rFonts w:cs="Arial"/>
        </w:rPr>
        <w:t xml:space="preserve"> routinely partners with BMHA concerning present and future voucher unit and low-income housing unit expansion. </w:t>
      </w:r>
    </w:p>
    <w:p w14:paraId="1F98570C" w14:textId="77777777" w:rsidR="006F46BF" w:rsidRDefault="00000000">
      <w:pPr>
        <w:widowControl w:val="0"/>
        <w:rPr>
          <w:b/>
          <w:sz w:val="24"/>
          <w:szCs w:val="24"/>
        </w:rPr>
      </w:pPr>
      <w:r>
        <w:rPr>
          <w:b/>
          <w:sz w:val="24"/>
          <w:szCs w:val="24"/>
        </w:rPr>
        <w:t xml:space="preserve">Actions taken to encourage public housing residents to become more involved in management and participate in </w:t>
      </w:r>
      <w:proofErr w:type="gramStart"/>
      <w:r>
        <w:rPr>
          <w:b/>
          <w:sz w:val="24"/>
          <w:szCs w:val="24"/>
        </w:rPr>
        <w:t>homeownership</w:t>
      </w:r>
      <w:proofErr w:type="gramEnd"/>
    </w:p>
    <w:p w14:paraId="32502DB8" w14:textId="77777777" w:rsidR="006F46BF" w:rsidRDefault="00000000">
      <w:pPr>
        <w:widowControl w:val="0"/>
        <w:spacing w:beforeAutospacing="1" w:afterAutospacing="1"/>
        <w:rPr>
          <w:rFonts w:cs="Arial"/>
        </w:rPr>
      </w:pPr>
      <w:r>
        <w:rPr>
          <w:rFonts w:cs="Arial"/>
        </w:rPr>
        <w:t xml:space="preserve">The City of Hamilton encourages all residents to participate in community planning efforts including public housing residents. The </w:t>
      </w:r>
      <w:proofErr w:type="gramStart"/>
      <w:r>
        <w:rPr>
          <w:rFonts w:cs="Arial"/>
        </w:rPr>
        <w:t>City</w:t>
      </w:r>
      <w:proofErr w:type="gramEnd"/>
      <w:r>
        <w:rPr>
          <w:rFonts w:cs="Arial"/>
        </w:rPr>
        <w:t xml:space="preserve"> also encourages public housing residents to be involved in the management of their units. </w:t>
      </w:r>
    </w:p>
    <w:p w14:paraId="48F6B4D3" w14:textId="77777777" w:rsidR="006F46BF" w:rsidRDefault="00000000">
      <w:pPr>
        <w:widowControl w:val="0"/>
        <w:rPr>
          <w:b/>
          <w:sz w:val="24"/>
          <w:szCs w:val="24"/>
        </w:rPr>
      </w:pPr>
      <w:r>
        <w:rPr>
          <w:b/>
          <w:sz w:val="24"/>
          <w:szCs w:val="24"/>
        </w:rPr>
        <w:t xml:space="preserve">Actions taken to provide assistance to troubled </w:t>
      </w:r>
      <w:proofErr w:type="gramStart"/>
      <w:r>
        <w:rPr>
          <w:b/>
          <w:sz w:val="24"/>
          <w:szCs w:val="24"/>
        </w:rPr>
        <w:t>PHAs</w:t>
      </w:r>
      <w:proofErr w:type="gramEnd"/>
    </w:p>
    <w:p w14:paraId="3B83D958" w14:textId="77777777" w:rsidR="006F46BF" w:rsidRDefault="00000000">
      <w:pPr>
        <w:widowControl w:val="0"/>
        <w:spacing w:beforeAutospacing="1" w:afterAutospacing="1"/>
        <w:rPr>
          <w:rFonts w:cs="Arial"/>
        </w:rPr>
      </w:pPr>
      <w:r>
        <w:rPr>
          <w:rFonts w:cs="Arial"/>
        </w:rPr>
        <w:t>The city is not located in a region with a "troubled PHA". </w:t>
      </w:r>
    </w:p>
    <w:p w14:paraId="4C35E4E0" w14:textId="77777777" w:rsidR="006F46BF" w:rsidRDefault="00000000">
      <w:pPr>
        <w:pStyle w:val="Heading2"/>
        <w:pageBreakBefore/>
        <w:widowControl w:val="0"/>
        <w:rPr>
          <w:rFonts w:ascii="Calibri" w:hAnsi="Calibri"/>
          <w:i w:val="0"/>
        </w:rPr>
      </w:pPr>
      <w:r>
        <w:rPr>
          <w:rFonts w:ascii="Calibri" w:hAnsi="Calibri"/>
          <w:i w:val="0"/>
        </w:rPr>
        <w:lastRenderedPageBreak/>
        <w:t>CR-35 - Other Actions 91.220(j)-(k); 91.320(</w:t>
      </w:r>
      <w:proofErr w:type="spellStart"/>
      <w:r>
        <w:rPr>
          <w:rFonts w:ascii="Calibri" w:hAnsi="Calibri"/>
          <w:i w:val="0"/>
        </w:rPr>
        <w:t>i</w:t>
      </w:r>
      <w:proofErr w:type="spellEnd"/>
      <w:r>
        <w:rPr>
          <w:rFonts w:ascii="Calibri" w:hAnsi="Calibri"/>
          <w:i w:val="0"/>
        </w:rPr>
        <w:t>)-(j)</w:t>
      </w:r>
    </w:p>
    <w:p w14:paraId="4A9A5265" w14:textId="77777777" w:rsidR="006F46BF" w:rsidRDefault="00000000">
      <w:pPr>
        <w:widowControl w:val="0"/>
        <w:rPr>
          <w:b/>
          <w:sz w:val="24"/>
          <w:szCs w:val="24"/>
        </w:rPr>
      </w:pPr>
      <w:r>
        <w:rPr>
          <w:b/>
          <w:sz w:val="24"/>
          <w:szCs w:val="24"/>
        </w:rPr>
        <w:t>Actions taken to remove or ameliorate the negative effects of public policies that serve as barriers to affordable housing such as land use controls, tax policies affecting land, zoning ordinances, building codes, fees and charges, growth limitations, and policies affecting the return on residential investment. 91.220 (j); 91.320 (</w:t>
      </w:r>
      <w:proofErr w:type="spellStart"/>
      <w:r>
        <w:rPr>
          <w:b/>
          <w:sz w:val="24"/>
          <w:szCs w:val="24"/>
        </w:rPr>
        <w:t>i</w:t>
      </w:r>
      <w:proofErr w:type="spellEnd"/>
      <w:r>
        <w:rPr>
          <w:b/>
          <w:sz w:val="24"/>
          <w:szCs w:val="24"/>
        </w:rPr>
        <w:t>)</w:t>
      </w:r>
    </w:p>
    <w:p w14:paraId="1D57D18C" w14:textId="77777777" w:rsidR="006F46BF" w:rsidRDefault="00000000">
      <w:pPr>
        <w:widowControl w:val="0"/>
        <w:spacing w:beforeAutospacing="1" w:afterAutospacing="1"/>
        <w:rPr>
          <w:rFonts w:cs="Arial"/>
        </w:rPr>
      </w:pPr>
      <w:r>
        <w:rPr>
          <w:rFonts w:cs="Arial"/>
        </w:rPr>
        <w:t>Two factors that affect the affordability of housing in the community are local property taxes and utility costs. According to the Butler County Auditor, Rates of Taxation in Butler County, Ohio Tax Year 2023, the total effective rate class for the City of Hamilton and the Hamilton City School District were the lowest in the immediate area. For example, Hamilton’s taxes have decreased and are 53.39 mills and are compared to: 52.82 mills for Fairfield City; 55.68 mills for West Chester Township; 44.10mills for Oxford; and 65.79 mills for Middletown.</w:t>
      </w:r>
    </w:p>
    <w:p w14:paraId="4D0EAE11" w14:textId="77777777" w:rsidR="006F46BF" w:rsidRDefault="00000000">
      <w:pPr>
        <w:widowControl w:val="0"/>
        <w:spacing w:beforeAutospacing="1" w:afterAutospacing="1"/>
        <w:rPr>
          <w:rFonts w:cs="Arial"/>
        </w:rPr>
      </w:pPr>
      <w:r>
        <w:rPr>
          <w:rFonts w:cs="Arial"/>
        </w:rPr>
        <w:t>Hamilton owns and operates its own water, sewage treatment (natural gas), and electric utilities. Hamilton's water costs are nearly one third less than the County rates. Neither local taxes nor municipal utility costs are deemed barriers to affordable housing in Hamilton. </w:t>
      </w:r>
    </w:p>
    <w:p w14:paraId="4738A395" w14:textId="77777777" w:rsidR="006F46BF" w:rsidRDefault="00000000">
      <w:pPr>
        <w:widowControl w:val="0"/>
        <w:spacing w:beforeAutospacing="1" w:afterAutospacing="1"/>
        <w:rPr>
          <w:rFonts w:cs="Arial"/>
        </w:rPr>
      </w:pPr>
      <w:r>
        <w:rPr>
          <w:rFonts w:cs="Arial"/>
        </w:rPr>
        <w:t>The City of Hamilton recently reviewed the building and zoning codes. The following is a summary of those, which many believe affect housing affordability:</w:t>
      </w:r>
    </w:p>
    <w:p w14:paraId="62E86A10" w14:textId="77777777" w:rsidR="006F46BF" w:rsidRDefault="00000000">
      <w:pPr>
        <w:numPr>
          <w:ilvl w:val="0"/>
          <w:numId w:val="17"/>
        </w:numPr>
        <w:spacing w:beforeAutospacing="1" w:afterAutospacing="1"/>
      </w:pPr>
      <w:r>
        <w:rPr>
          <w:rFonts w:cs="Arial"/>
        </w:rPr>
        <w:t>Hamilton utilizes a "one-stop" permitting process to expedite permitting and review procedures to ultimately eliminate delay costs. </w:t>
      </w:r>
    </w:p>
    <w:p w14:paraId="0939C6FA" w14:textId="77777777" w:rsidR="006F46BF" w:rsidRDefault="00000000">
      <w:pPr>
        <w:numPr>
          <w:ilvl w:val="0"/>
          <w:numId w:val="17"/>
        </w:numPr>
        <w:spacing w:beforeAutospacing="1" w:afterAutospacing="1"/>
      </w:pPr>
      <w:r>
        <w:rPr>
          <w:rFonts w:cs="Arial"/>
        </w:rPr>
        <w:t xml:space="preserve">Hamilton's zoning code is not unduly restrictive. In fact, the minimum lot size for the least dense residential zoning district (10,000 square feet) is well below other areas such as Cincinnati (20,000 square feet minimum), Middletown (20,000 square feet minimum), and Fairfield (12,000 square feet minimum). The City is actively encouraging affordable </w:t>
      </w:r>
      <w:proofErr w:type="gramStart"/>
      <w:r>
        <w:rPr>
          <w:rFonts w:cs="Arial"/>
        </w:rPr>
        <w:t>mixed use</w:t>
      </w:r>
      <w:proofErr w:type="gramEnd"/>
      <w:r>
        <w:rPr>
          <w:rFonts w:cs="Arial"/>
        </w:rPr>
        <w:t xml:space="preserve"> development that includes residential properties at higher densities in certain areas, including CORE Area and affordable new single family construction in neighborhoods. </w:t>
      </w:r>
    </w:p>
    <w:p w14:paraId="08930C29" w14:textId="77777777" w:rsidR="006F46BF" w:rsidRDefault="00000000">
      <w:pPr>
        <w:numPr>
          <w:ilvl w:val="0"/>
          <w:numId w:val="17"/>
        </w:numPr>
        <w:spacing w:beforeAutospacing="1" w:afterAutospacing="1"/>
      </w:pPr>
      <w:r>
        <w:rPr>
          <w:rFonts w:cs="Arial"/>
        </w:rPr>
        <w:t xml:space="preserve">The City's subdivision regulations require the installation of sidewalks, curbs/gutters, and storm water retention </w:t>
      </w:r>
      <w:proofErr w:type="gramStart"/>
      <w:r>
        <w:rPr>
          <w:rFonts w:cs="Arial"/>
        </w:rPr>
        <w:t>methods;</w:t>
      </w:r>
      <w:proofErr w:type="gramEnd"/>
      <w:r>
        <w:rPr>
          <w:rFonts w:cs="Arial"/>
        </w:rPr>
        <w:t xml:space="preserve"> which may increase housing costs. However, Hamilton's regulations are not unduly harsh nor are they any more restrictive than other population centers in Butler County (</w:t>
      </w:r>
      <w:proofErr w:type="gramStart"/>
      <w:r>
        <w:rPr>
          <w:rFonts w:cs="Arial"/>
        </w:rPr>
        <w:t>i.e.</w:t>
      </w:r>
      <w:proofErr w:type="gramEnd"/>
      <w:r>
        <w:rPr>
          <w:rFonts w:cs="Arial"/>
        </w:rPr>
        <w:t xml:space="preserve"> Middletown and Fairfield). </w:t>
      </w:r>
      <w:proofErr w:type="gramStart"/>
      <w:r>
        <w:rPr>
          <w:rFonts w:cs="Arial"/>
        </w:rPr>
        <w:t>With regard to</w:t>
      </w:r>
      <w:proofErr w:type="gramEnd"/>
      <w:r>
        <w:rPr>
          <w:rFonts w:cs="Arial"/>
        </w:rPr>
        <w:t xml:space="preserve"> infrastructure requirements for subdivisions, they are again the minimum standard to ensure public health, welfare, and safety. In addition, sidewalks and curbs/gutters promote walkability within and between neighborhoods particularly for households with limited transportation options. </w:t>
      </w:r>
    </w:p>
    <w:p w14:paraId="0C46423C" w14:textId="77777777" w:rsidR="006F46BF" w:rsidRDefault="00000000">
      <w:pPr>
        <w:numPr>
          <w:ilvl w:val="0"/>
          <w:numId w:val="17"/>
        </w:numPr>
        <w:spacing w:beforeAutospacing="1" w:afterAutospacing="1"/>
      </w:pPr>
      <w:r>
        <w:rPr>
          <w:rFonts w:cs="Arial"/>
        </w:rPr>
        <w:t xml:space="preserve">Hamilton may employ certain incentive practices in negotiating with developers to aid in the reduction of construction costs. The zoning code allows for Planned Unit Developments (PUD's), form-based </w:t>
      </w:r>
      <w:proofErr w:type="gramStart"/>
      <w:r>
        <w:rPr>
          <w:rFonts w:cs="Arial"/>
        </w:rPr>
        <w:t>mixed use</w:t>
      </w:r>
      <w:proofErr w:type="gramEnd"/>
      <w:r>
        <w:rPr>
          <w:rFonts w:cs="Arial"/>
        </w:rPr>
        <w:t xml:space="preserve"> zoning, clustered housing, zero lot line zoning and certain density bonuses. The Hamilton Planning Department has made modifications to the current PUD regulations to include: the promotion of providing greater mixtures of housing types, styles, and sizes to facilitate housing choice and density bonuses to encourage the development of </w:t>
      </w:r>
      <w:r>
        <w:rPr>
          <w:rFonts w:cs="Arial"/>
        </w:rPr>
        <w:lastRenderedPageBreak/>
        <w:t>affordable LMI housing by private sector investors. providing greater mixtures of housing types, styles, and sizes to facilitate housing choice and density bonuses to encourage the development of affordable LMI housing by private sector investors. </w:t>
      </w:r>
    </w:p>
    <w:p w14:paraId="7E67BA41" w14:textId="77777777" w:rsidR="006F46BF" w:rsidRDefault="00000000">
      <w:pPr>
        <w:widowControl w:val="0"/>
        <w:spacing w:beforeAutospacing="1" w:afterAutospacing="1"/>
        <w:rPr>
          <w:rFonts w:cs="Arial"/>
        </w:rPr>
      </w:pPr>
      <w:r>
        <w:rPr>
          <w:rFonts w:cs="Arial"/>
        </w:rPr>
        <w:t xml:space="preserve">The City's policies and regulations do not significantly impact housing choice or affordability. Thus, the </w:t>
      </w:r>
      <w:proofErr w:type="gramStart"/>
      <w:r>
        <w:rPr>
          <w:rFonts w:cs="Arial"/>
        </w:rPr>
        <w:t>City</w:t>
      </w:r>
      <w:proofErr w:type="gramEnd"/>
      <w:r>
        <w:rPr>
          <w:rFonts w:cs="Arial"/>
        </w:rPr>
        <w:t xml:space="preserve"> has not outlined a strategy for modifications or amendments. The City will continue to routinely review policies/regulations and propose changes when deemed necessary. </w:t>
      </w:r>
    </w:p>
    <w:p w14:paraId="6C61543C" w14:textId="77777777" w:rsidR="006F46BF" w:rsidRDefault="00000000">
      <w:pPr>
        <w:widowControl w:val="0"/>
        <w:rPr>
          <w:b/>
          <w:sz w:val="24"/>
          <w:szCs w:val="24"/>
        </w:rPr>
      </w:pPr>
      <w:r>
        <w:rPr>
          <w:b/>
          <w:sz w:val="24"/>
          <w:szCs w:val="24"/>
        </w:rPr>
        <w:t>Actions taken to address obstacles to meeting underserved needs.  91.220(k); 91.320(j)</w:t>
      </w:r>
    </w:p>
    <w:p w14:paraId="6CE96F1D" w14:textId="77777777" w:rsidR="006F46BF" w:rsidRDefault="00000000">
      <w:pPr>
        <w:widowControl w:val="0"/>
        <w:spacing w:beforeAutospacing="1" w:afterAutospacing="1"/>
        <w:rPr>
          <w:rFonts w:cs="Arial"/>
        </w:rPr>
      </w:pPr>
      <w:r>
        <w:rPr>
          <w:rFonts w:cs="Arial"/>
        </w:rPr>
        <w:t xml:space="preserve">The </w:t>
      </w:r>
      <w:proofErr w:type="gramStart"/>
      <w:r>
        <w:rPr>
          <w:rFonts w:cs="Arial"/>
        </w:rPr>
        <w:t>City</w:t>
      </w:r>
      <w:proofErr w:type="gramEnd"/>
      <w:r>
        <w:rPr>
          <w:rFonts w:cs="Arial"/>
        </w:rPr>
        <w:t xml:space="preserve"> has and plans to continue to invest resources into community development efforts that leverage and increase positive activities in distressed neighborhoods. These investments include affordable housing development activities, promoting Lead-Safe Workplace Practices, and the Neighborhood Overlay Conservation Zoning District. </w:t>
      </w:r>
    </w:p>
    <w:p w14:paraId="5258AC56" w14:textId="77777777" w:rsidR="006F46BF" w:rsidRDefault="00000000">
      <w:pPr>
        <w:widowControl w:val="0"/>
        <w:spacing w:beforeAutospacing="1" w:afterAutospacing="1"/>
        <w:rPr>
          <w:rFonts w:cs="Arial"/>
        </w:rPr>
      </w:pPr>
      <w:r>
        <w:rPr>
          <w:rFonts w:cs="Arial"/>
        </w:rPr>
        <w:t>Additionally, City personnel sit on the local Butler County Housing &amp; Homeless Coalition (BCHHC) board. Board members work to establish and maintain collaboration amongst local service providers, address issues with the homeless population, determine and develop new services, etc. The City provides CDBG funds to the local homeless shelter for infrastructure improvements and services. In addition to funding, and unrelated to HUD funding, the City's mayor has partnered with local service provider Family Promise to develop a local Task Force to Combat Homelessness. The Task Force's mission is to directly tackle the issue of homelessness in the community by creating a collaborative bridge amongst local service providers, businesses, faith-based organizations, and other willing participants. </w:t>
      </w:r>
    </w:p>
    <w:p w14:paraId="2ED84260" w14:textId="77777777" w:rsidR="006F46BF" w:rsidRDefault="00000000">
      <w:pPr>
        <w:widowControl w:val="0"/>
        <w:spacing w:beforeAutospacing="1" w:afterAutospacing="1"/>
        <w:rPr>
          <w:rFonts w:cs="Arial"/>
        </w:rPr>
      </w:pPr>
      <w:r>
        <w:rPr>
          <w:rFonts w:cs="Arial"/>
        </w:rPr>
        <w:t xml:space="preserve">The </w:t>
      </w:r>
      <w:proofErr w:type="gramStart"/>
      <w:r>
        <w:rPr>
          <w:rFonts w:cs="Arial"/>
        </w:rPr>
        <w:t>City</w:t>
      </w:r>
      <w:proofErr w:type="gramEnd"/>
      <w:r>
        <w:rPr>
          <w:rFonts w:cs="Arial"/>
        </w:rPr>
        <w:t xml:space="preserve"> also partners with fair housing provider Housing Opportunities Made Equal (H.O.M.E.) to provide outreach services to low-moderate income community members including within the </w:t>
      </w:r>
      <w:proofErr w:type="spellStart"/>
      <w:r>
        <w:rPr>
          <w:rFonts w:cs="Arial"/>
        </w:rPr>
        <w:t>latino</w:t>
      </w:r>
      <w:proofErr w:type="spellEnd"/>
      <w:r>
        <w:rPr>
          <w:rFonts w:cs="Arial"/>
        </w:rPr>
        <w:t xml:space="preserve"> community. Both the City and H.O.M.E. provide translation services, fair housing information/education, and support to LEP residents.  In FY 2022-23, the City and H.O.M.E </w:t>
      </w:r>
      <w:proofErr w:type="gramStart"/>
      <w:r>
        <w:rPr>
          <w:rFonts w:cs="Arial"/>
        </w:rPr>
        <w:t>provided assistance to</w:t>
      </w:r>
      <w:proofErr w:type="gramEnd"/>
      <w:r>
        <w:rPr>
          <w:rFonts w:cs="Arial"/>
        </w:rPr>
        <w:t xml:space="preserve"> persons/households within the City of Hamilton. More specifically, the City's NDD staff assisted </w:t>
      </w:r>
      <w:r>
        <w:rPr>
          <w:rFonts w:cs="Arial"/>
          <w:b/>
        </w:rPr>
        <w:t>27</w:t>
      </w:r>
      <w:r>
        <w:rPr>
          <w:rFonts w:cs="Arial"/>
        </w:rPr>
        <w:t xml:space="preserve"> persons/households while H.O.M.E. assisted </w:t>
      </w:r>
      <w:r>
        <w:rPr>
          <w:rFonts w:cs="Arial"/>
          <w:b/>
        </w:rPr>
        <w:t>105 </w:t>
      </w:r>
      <w:r>
        <w:rPr>
          <w:rFonts w:cs="Arial"/>
        </w:rPr>
        <w:t>persons/households. H.O.M.E. also performed </w:t>
      </w:r>
      <w:r>
        <w:rPr>
          <w:rFonts w:cs="Arial"/>
          <w:b/>
        </w:rPr>
        <w:t>22</w:t>
      </w:r>
      <w:r>
        <w:rPr>
          <w:rFonts w:cs="Arial"/>
        </w:rPr>
        <w:t xml:space="preserve"> Random Rental Tests for city residents, and </w:t>
      </w:r>
      <w:r>
        <w:rPr>
          <w:rFonts w:cs="Arial"/>
          <w:b/>
        </w:rPr>
        <w:t>2</w:t>
      </w:r>
      <w:r>
        <w:rPr>
          <w:rFonts w:cs="Arial"/>
        </w:rPr>
        <w:t xml:space="preserve"> Real Estate Tests, </w:t>
      </w:r>
      <w:r>
        <w:rPr>
          <w:rFonts w:cs="Arial"/>
          <w:b/>
        </w:rPr>
        <w:t>11</w:t>
      </w:r>
      <w:r>
        <w:rPr>
          <w:rFonts w:cs="Arial"/>
        </w:rPr>
        <w:t xml:space="preserve"> Outreach Distributions. Lastly, H.O.M.E provided </w:t>
      </w:r>
      <w:r>
        <w:rPr>
          <w:rFonts w:cs="Arial"/>
          <w:b/>
        </w:rPr>
        <w:t>3 </w:t>
      </w:r>
      <w:r>
        <w:rPr>
          <w:rFonts w:cs="Arial"/>
        </w:rPr>
        <w:t>fair housing consumer events. </w:t>
      </w:r>
    </w:p>
    <w:p w14:paraId="39771C44" w14:textId="77777777" w:rsidR="006F46BF" w:rsidRDefault="00000000">
      <w:pPr>
        <w:widowControl w:val="0"/>
        <w:spacing w:beforeAutospacing="1" w:afterAutospacing="1"/>
        <w:rPr>
          <w:rFonts w:cs="Arial"/>
        </w:rPr>
      </w:pPr>
      <w:r>
        <w:rPr>
          <w:rFonts w:cs="Arial"/>
        </w:rPr>
        <w:t>Additionally, The City of Hamilton continuously strives to address the needs of those in need within the jurisdiction by assessing individuals considered "worst case needs". Through partnerships with NHSH, the YWCA, YMCA, and SERVE City, persons acknowledged as "worst case needs" are provided direct assistance and access to available housing (permanent &amp; transitional). </w:t>
      </w:r>
    </w:p>
    <w:p w14:paraId="298429CE" w14:textId="77777777" w:rsidR="006F46BF" w:rsidRDefault="00000000">
      <w:pPr>
        <w:widowControl w:val="0"/>
        <w:rPr>
          <w:b/>
          <w:sz w:val="24"/>
          <w:szCs w:val="24"/>
        </w:rPr>
      </w:pPr>
      <w:r>
        <w:rPr>
          <w:b/>
          <w:sz w:val="24"/>
          <w:szCs w:val="24"/>
        </w:rPr>
        <w:t>Actions taken to reduce lead-based paint hazards. 91.220(k); 91.320(j)</w:t>
      </w:r>
    </w:p>
    <w:p w14:paraId="4E449A27" w14:textId="77777777" w:rsidR="006F46BF" w:rsidRDefault="00000000">
      <w:pPr>
        <w:widowControl w:val="0"/>
        <w:spacing w:beforeAutospacing="1" w:afterAutospacing="1"/>
        <w:rPr>
          <w:rFonts w:cs="Arial"/>
        </w:rPr>
      </w:pPr>
      <w:r>
        <w:rPr>
          <w:rFonts w:cs="Arial"/>
        </w:rPr>
        <w:t xml:space="preserve">The results of several studies have indicated that children exposed, even moderately, to lead-based paint may develop permanent learning disabilities.  The greatest concern is for young children (under </w:t>
      </w:r>
      <w:r>
        <w:rPr>
          <w:rFonts w:cs="Arial"/>
        </w:rPr>
        <w:lastRenderedPageBreak/>
        <w:t>the age of 7).  The use of lead-based interior and exterior paints often occurred on structures constructed prior to 1978; and</w:t>
      </w:r>
      <w:proofErr w:type="gramStart"/>
      <w:r>
        <w:rPr>
          <w:rFonts w:cs="Arial"/>
        </w:rPr>
        <w:t>, generally speaking, its</w:t>
      </w:r>
      <w:proofErr w:type="gramEnd"/>
      <w:r>
        <w:rPr>
          <w:rFonts w:cs="Arial"/>
        </w:rPr>
        <w:t xml:space="preserve"> use was more prevalent on older (pre-1940) houses.  Considering the age of the City's housing stock, and thus, the likelihood of an increased presence of lead-based paint hazards, Hamilton will respond to the problem of lead-based paint (LBP) hazards.   The EPA booklet "Protect Your Family from Lead </w:t>
      </w:r>
      <w:proofErr w:type="gramStart"/>
      <w:r>
        <w:rPr>
          <w:rFonts w:cs="Arial"/>
        </w:rPr>
        <w:t>In</w:t>
      </w:r>
      <w:proofErr w:type="gramEnd"/>
      <w:r>
        <w:rPr>
          <w:rFonts w:cs="Arial"/>
        </w:rPr>
        <w:t xml:space="preserve"> Your Home" is distributed through the home repair programs to homeowners and to potential </w:t>
      </w:r>
      <w:proofErr w:type="spellStart"/>
      <w:r>
        <w:rPr>
          <w:rFonts w:cs="Arial"/>
        </w:rPr>
        <w:t>downpayment</w:t>
      </w:r>
      <w:proofErr w:type="spellEnd"/>
      <w:r>
        <w:rPr>
          <w:rFonts w:cs="Arial"/>
        </w:rPr>
        <w:t xml:space="preserve"> and closing cost assistance homebuyers.  Visual Assessment/Paint Stabilization (24 CFR 35.1015) visual assessment of paint is conducted with each </w:t>
      </w:r>
      <w:proofErr w:type="spellStart"/>
      <w:r>
        <w:rPr>
          <w:rFonts w:cs="Arial"/>
        </w:rPr>
        <w:t>downpayment</w:t>
      </w:r>
      <w:proofErr w:type="spellEnd"/>
      <w:r>
        <w:rPr>
          <w:rFonts w:cs="Arial"/>
        </w:rPr>
        <w:t xml:space="preserve">/closing cost assistance </w:t>
      </w:r>
      <w:proofErr w:type="spellStart"/>
      <w:r>
        <w:rPr>
          <w:rFonts w:cs="Arial"/>
        </w:rPr>
        <w:t>acquistion</w:t>
      </w:r>
      <w:proofErr w:type="spellEnd"/>
      <w:r>
        <w:rPr>
          <w:rFonts w:cs="Arial"/>
        </w:rPr>
        <w:t xml:space="preserve"> along with independent property inspections and ongoing rental inspections which assess paint conditions throughout the affordability period.</w:t>
      </w:r>
    </w:p>
    <w:p w14:paraId="38DAAD99" w14:textId="77777777" w:rsidR="006F46BF" w:rsidRDefault="00000000">
      <w:pPr>
        <w:widowControl w:val="0"/>
        <w:rPr>
          <w:b/>
          <w:sz w:val="24"/>
          <w:szCs w:val="24"/>
        </w:rPr>
      </w:pPr>
      <w:r>
        <w:rPr>
          <w:b/>
          <w:sz w:val="24"/>
          <w:szCs w:val="24"/>
        </w:rPr>
        <w:t>Actions taken to reduce the number of poverty-level families. 91.220(k); 91.320(j)</w:t>
      </w:r>
    </w:p>
    <w:p w14:paraId="3842A1D8" w14:textId="77777777" w:rsidR="006F46BF" w:rsidRDefault="00000000">
      <w:pPr>
        <w:widowControl w:val="0"/>
        <w:spacing w:beforeAutospacing="1" w:afterAutospacing="1"/>
        <w:rPr>
          <w:rFonts w:cs="Arial"/>
        </w:rPr>
      </w:pPr>
      <w:r>
        <w:rPr>
          <w:rFonts w:cs="Arial"/>
        </w:rPr>
        <w:t xml:space="preserve">The City has determined (through the AFH process) that some of the issues affecting poverty-level families includes but may not be limited </w:t>
      </w:r>
      <w:proofErr w:type="gramStart"/>
      <w:r>
        <w:rPr>
          <w:rFonts w:cs="Arial"/>
        </w:rPr>
        <w:t>to:</w:t>
      </w:r>
      <w:proofErr w:type="gramEnd"/>
      <w:r>
        <w:rPr>
          <w:rFonts w:cs="Arial"/>
        </w:rPr>
        <w:t xml:space="preserve"> location and type of affordable housing; the availability of affordable units in a range of sizes; and the availability, type, frequency, and reliability of public transportation.</w:t>
      </w:r>
    </w:p>
    <w:p w14:paraId="6F47BE72" w14:textId="77777777" w:rsidR="006F46BF" w:rsidRDefault="00000000">
      <w:pPr>
        <w:widowControl w:val="0"/>
        <w:spacing w:beforeAutospacing="1" w:afterAutospacing="1"/>
        <w:rPr>
          <w:rFonts w:cs="Arial"/>
        </w:rPr>
      </w:pPr>
      <w:r>
        <w:rPr>
          <w:rFonts w:cs="Arial"/>
        </w:rPr>
        <w:t xml:space="preserve">The </w:t>
      </w:r>
      <w:proofErr w:type="gramStart"/>
      <w:r>
        <w:rPr>
          <w:rFonts w:cs="Arial"/>
        </w:rPr>
        <w:t>City</w:t>
      </w:r>
      <w:proofErr w:type="gramEnd"/>
      <w:r>
        <w:rPr>
          <w:rFonts w:cs="Arial"/>
        </w:rPr>
        <w:t xml:space="preserve"> partners with local housing providers, Neighborhood Housing Services of Hamilton (NHSH) develops new and also maintain/expand housing unit </w:t>
      </w:r>
      <w:proofErr w:type="spellStart"/>
      <w:r>
        <w:rPr>
          <w:rFonts w:cs="Arial"/>
        </w:rPr>
        <w:t>availabilty</w:t>
      </w:r>
      <w:proofErr w:type="spellEnd"/>
      <w:r>
        <w:rPr>
          <w:rFonts w:cs="Arial"/>
        </w:rPr>
        <w:t xml:space="preserve"> within the City. For example, NHSH provided down payment assistance to 19 extremely low/very low/</w:t>
      </w:r>
      <w:proofErr w:type="gramStart"/>
      <w:r>
        <w:rPr>
          <w:rFonts w:cs="Arial"/>
        </w:rPr>
        <w:t>low income</w:t>
      </w:r>
      <w:proofErr w:type="gramEnd"/>
      <w:r>
        <w:rPr>
          <w:rFonts w:cs="Arial"/>
        </w:rPr>
        <w:t xml:space="preserve"> households in the City. The home repairs aid in sustaining the home while also maintaining their integrity. Ultimately, this </w:t>
      </w:r>
      <w:proofErr w:type="spellStart"/>
      <w:r>
        <w:rPr>
          <w:rFonts w:cs="Arial"/>
        </w:rPr>
        <w:t>maks</w:t>
      </w:r>
      <w:proofErr w:type="spellEnd"/>
      <w:r>
        <w:rPr>
          <w:rFonts w:cs="Arial"/>
        </w:rPr>
        <w:t xml:space="preserve"> the homes safer and healthier for the </w:t>
      </w:r>
      <w:proofErr w:type="gramStart"/>
      <w:r>
        <w:rPr>
          <w:rFonts w:cs="Arial"/>
        </w:rPr>
        <w:t>low income</w:t>
      </w:r>
      <w:proofErr w:type="gramEnd"/>
      <w:r>
        <w:rPr>
          <w:rFonts w:cs="Arial"/>
        </w:rPr>
        <w:t xml:space="preserve"> resident(s) to reside. NHSH's commitment aids the City in addressing the issue of </w:t>
      </w:r>
      <w:proofErr w:type="gramStart"/>
      <w:r>
        <w:rPr>
          <w:rFonts w:cs="Arial"/>
        </w:rPr>
        <w:t>increasing, and</w:t>
      </w:r>
      <w:proofErr w:type="gramEnd"/>
      <w:r>
        <w:rPr>
          <w:rFonts w:cs="Arial"/>
        </w:rPr>
        <w:t xml:space="preserve"> maintaining affordable housing in a range of sizes in various locations in the City.</w:t>
      </w:r>
    </w:p>
    <w:p w14:paraId="2E621998" w14:textId="77777777" w:rsidR="006F46BF" w:rsidRDefault="00000000">
      <w:pPr>
        <w:widowControl w:val="0"/>
        <w:spacing w:beforeAutospacing="1" w:afterAutospacing="1"/>
        <w:rPr>
          <w:rFonts w:cs="Arial"/>
        </w:rPr>
      </w:pPr>
      <w:r>
        <w:rPr>
          <w:rFonts w:cs="Arial"/>
        </w:rPr>
        <w:t xml:space="preserve">Additionally, the City continues to partner and provide funding to local transportation provider, Butler County Regional Transit Authority (BCRTA). Through the partnership BCRTA has expanded its routes within and outside of the </w:t>
      </w:r>
      <w:proofErr w:type="gramStart"/>
      <w:r>
        <w:rPr>
          <w:rFonts w:cs="Arial"/>
        </w:rPr>
        <w:t>City</w:t>
      </w:r>
      <w:proofErr w:type="gramEnd"/>
      <w:r>
        <w:rPr>
          <w:rFonts w:cs="Arial"/>
        </w:rPr>
        <w:t xml:space="preserve"> to provide transportation to employers and resources in and surrounding the community. </w:t>
      </w:r>
    </w:p>
    <w:p w14:paraId="047CB191" w14:textId="77777777" w:rsidR="006F46BF" w:rsidRDefault="00000000">
      <w:pPr>
        <w:widowControl w:val="0"/>
        <w:rPr>
          <w:b/>
          <w:sz w:val="24"/>
          <w:szCs w:val="24"/>
        </w:rPr>
      </w:pPr>
      <w:r>
        <w:rPr>
          <w:b/>
          <w:sz w:val="24"/>
          <w:szCs w:val="24"/>
        </w:rPr>
        <w:t>Actions taken to develop institutional structure. 91.220(k); 91.320(j)</w:t>
      </w:r>
    </w:p>
    <w:p w14:paraId="3EB4B6E2" w14:textId="77777777" w:rsidR="006F46BF" w:rsidRDefault="00000000">
      <w:pPr>
        <w:widowControl w:val="0"/>
        <w:spacing w:beforeAutospacing="1" w:afterAutospacing="1"/>
        <w:rPr>
          <w:rFonts w:cs="Arial"/>
        </w:rPr>
      </w:pPr>
      <w:r>
        <w:rPr>
          <w:rFonts w:cs="Arial"/>
        </w:rPr>
        <w:t xml:space="preserve">The delivery system in the City of Hamilton was enhanced by the development of a communications process with public service providers. Representatives from social service agencies and housing providers are part of the system. The formation of this process resulted in community collaboration to identify problems, priorities, </w:t>
      </w:r>
      <w:proofErr w:type="gramStart"/>
      <w:r>
        <w:rPr>
          <w:rFonts w:cs="Arial"/>
        </w:rPr>
        <w:t>strategies</w:t>
      </w:r>
      <w:proofErr w:type="gramEnd"/>
      <w:r>
        <w:rPr>
          <w:rFonts w:cs="Arial"/>
        </w:rPr>
        <w:t xml:space="preserve"> and action plans to assist Hamilton citizens. The </w:t>
      </w:r>
      <w:proofErr w:type="gramStart"/>
      <w:r>
        <w:rPr>
          <w:rFonts w:cs="Arial"/>
        </w:rPr>
        <w:t>City</w:t>
      </w:r>
      <w:proofErr w:type="gramEnd"/>
      <w:r>
        <w:rPr>
          <w:rFonts w:cs="Arial"/>
        </w:rPr>
        <w:t xml:space="preserve"> is working toward closing the gaps through consultation with citizens, community service providers, and local public institutions, private industry, and nonprofit organizations. </w:t>
      </w:r>
    </w:p>
    <w:p w14:paraId="35D8C036" w14:textId="77777777" w:rsidR="006F46BF" w:rsidRDefault="00000000">
      <w:pPr>
        <w:widowControl w:val="0"/>
        <w:rPr>
          <w:b/>
          <w:sz w:val="24"/>
          <w:szCs w:val="24"/>
        </w:rPr>
      </w:pPr>
      <w:r>
        <w:rPr>
          <w:b/>
          <w:sz w:val="24"/>
          <w:szCs w:val="24"/>
        </w:rPr>
        <w:t>Actions taken to enhance coordination between public and private housing and social service agencies. 91.220(k); 91.320(j)</w:t>
      </w:r>
    </w:p>
    <w:p w14:paraId="5752B5BA" w14:textId="77777777" w:rsidR="006F46BF" w:rsidRDefault="00000000">
      <w:pPr>
        <w:widowControl w:val="0"/>
        <w:spacing w:beforeAutospacing="1" w:afterAutospacing="1"/>
        <w:rPr>
          <w:rFonts w:cs="Arial"/>
        </w:rPr>
      </w:pPr>
      <w:r>
        <w:rPr>
          <w:rFonts w:cs="Arial"/>
          <w:b/>
        </w:rPr>
        <w:lastRenderedPageBreak/>
        <w:t>Public Institution:</w:t>
      </w:r>
    </w:p>
    <w:p w14:paraId="1B127FCF" w14:textId="77777777" w:rsidR="006F46BF" w:rsidRDefault="00000000">
      <w:pPr>
        <w:widowControl w:val="0"/>
        <w:spacing w:beforeAutospacing="1" w:afterAutospacing="1"/>
        <w:rPr>
          <w:rFonts w:cs="Arial"/>
        </w:rPr>
      </w:pPr>
      <w:r>
        <w:rPr>
          <w:rFonts w:cs="Arial"/>
        </w:rPr>
        <w:t xml:space="preserve">The City of Hamilton's Finance Department - Neighborhood Development Division will administer both the CDBG and HOME programs. Funds will be used for a variety of activities including, but not limited to, owner (home) rehabilitation, home buyer assistance, capital improvements, economic development, and technical assistance to nonprofits and public services operated by nonprofits. The </w:t>
      </w:r>
      <w:proofErr w:type="gramStart"/>
      <w:r>
        <w:rPr>
          <w:rFonts w:cs="Arial"/>
        </w:rPr>
        <w:t>City</w:t>
      </w:r>
      <w:proofErr w:type="gramEnd"/>
      <w:r>
        <w:rPr>
          <w:rFonts w:cs="Arial"/>
        </w:rPr>
        <w:t xml:space="preserve"> may assist other public or nonprofit groups in providing other types of affordable housing assistance. The </w:t>
      </w:r>
      <w:proofErr w:type="gramStart"/>
      <w:r>
        <w:rPr>
          <w:rFonts w:cs="Arial"/>
        </w:rPr>
        <w:t>City</w:t>
      </w:r>
      <w:proofErr w:type="gramEnd"/>
      <w:r>
        <w:rPr>
          <w:rFonts w:cs="Arial"/>
        </w:rPr>
        <w:t xml:space="preserve"> may apply for State Low Income Housing Tax Credits (LIHTC) or other forms of state assistance as specific projects develop. </w:t>
      </w:r>
    </w:p>
    <w:p w14:paraId="2FBDD682" w14:textId="77777777" w:rsidR="006F46BF" w:rsidRDefault="00000000">
      <w:pPr>
        <w:widowControl w:val="0"/>
        <w:spacing w:beforeAutospacing="1" w:afterAutospacing="1"/>
        <w:rPr>
          <w:rFonts w:cs="Arial"/>
        </w:rPr>
      </w:pPr>
      <w:r>
        <w:rPr>
          <w:rFonts w:cs="Arial"/>
        </w:rPr>
        <w:t xml:space="preserve">Butler Metropolitan Housing Authority (BMHA) will continue and is responsible for carrying out the Comprehensive Public Housing Grant and Section 8 Voucher programs as well as operating low-income housing units. BMHA operates countywide and Hamilton City Council appoints one board </w:t>
      </w:r>
      <w:proofErr w:type="gramStart"/>
      <w:r>
        <w:rPr>
          <w:rFonts w:cs="Arial"/>
        </w:rPr>
        <w:t>member</w:t>
      </w:r>
      <w:proofErr w:type="gramEnd"/>
      <w:r>
        <w:rPr>
          <w:rFonts w:cs="Arial"/>
        </w:rPr>
        <w:t xml:space="preserve"> and the remaining are selected by the County Commissioners. </w:t>
      </w:r>
      <w:proofErr w:type="gramStart"/>
      <w:r>
        <w:rPr>
          <w:rFonts w:cs="Arial"/>
        </w:rPr>
        <w:t>With the exception of</w:t>
      </w:r>
      <w:proofErr w:type="gramEnd"/>
      <w:r>
        <w:rPr>
          <w:rFonts w:cs="Arial"/>
        </w:rPr>
        <w:t xml:space="preserve"> units in Middletown, Ohio; BMHA owns and operates the majority of housing units located in the City of Hamilton. The City of Hamilton encourages all residents to participate in community planning efforts including public housing residents. </w:t>
      </w:r>
      <w:proofErr w:type="spellStart"/>
      <w:r>
        <w:rPr>
          <w:rFonts w:cs="Arial"/>
        </w:rPr>
        <w:t>THe</w:t>
      </w:r>
      <w:proofErr w:type="spellEnd"/>
      <w:r>
        <w:rPr>
          <w:rFonts w:cs="Arial"/>
        </w:rPr>
        <w:t xml:space="preserve"> City also encourages public housing residents to be involved in the management of their units.  </w:t>
      </w:r>
    </w:p>
    <w:p w14:paraId="20DAF672" w14:textId="77777777" w:rsidR="006F46BF" w:rsidRDefault="00000000">
      <w:pPr>
        <w:widowControl w:val="0"/>
        <w:spacing w:beforeAutospacing="1" w:afterAutospacing="1"/>
        <w:rPr>
          <w:rFonts w:cs="Arial"/>
        </w:rPr>
      </w:pPr>
      <w:r>
        <w:rPr>
          <w:rFonts w:cs="Arial"/>
          <w:b/>
        </w:rPr>
        <w:t>Private Industry</w:t>
      </w:r>
    </w:p>
    <w:p w14:paraId="0B2D3641" w14:textId="77777777" w:rsidR="006F46BF" w:rsidRDefault="00000000">
      <w:pPr>
        <w:widowControl w:val="0"/>
        <w:spacing w:beforeAutospacing="1" w:afterAutospacing="1"/>
        <w:rPr>
          <w:rFonts w:cs="Arial"/>
        </w:rPr>
      </w:pPr>
      <w:r>
        <w:rPr>
          <w:rFonts w:cs="Arial"/>
        </w:rPr>
        <w:t xml:space="preserve">Private sector involvement includes financial institutions </w:t>
      </w:r>
      <w:proofErr w:type="gramStart"/>
      <w:r>
        <w:rPr>
          <w:rFonts w:cs="Arial"/>
        </w:rPr>
        <w:t>providing assistance</w:t>
      </w:r>
      <w:proofErr w:type="gramEnd"/>
      <w:r>
        <w:rPr>
          <w:rFonts w:cs="Arial"/>
        </w:rPr>
        <w:t xml:space="preserve"> via mortgage loans to assist with private rehabilitation (owner and renter) and a first-time homebuyer program operated by Neighborhood Housing Services of Hamilton. Also, there may be private sector involvement in low-income housing tax credit projects for housing rehabilitation or new construction to increase affordable rental and homeownership opportunities. </w:t>
      </w:r>
    </w:p>
    <w:p w14:paraId="60870FFD" w14:textId="77777777" w:rsidR="006F46BF" w:rsidRDefault="00000000">
      <w:pPr>
        <w:widowControl w:val="0"/>
        <w:spacing w:beforeAutospacing="1" w:afterAutospacing="1"/>
        <w:rPr>
          <w:rFonts w:cs="Arial"/>
        </w:rPr>
      </w:pPr>
      <w:r>
        <w:rPr>
          <w:rFonts w:cs="Arial"/>
          <w:b/>
        </w:rPr>
        <w:t>Nonprofit Organizations</w:t>
      </w:r>
    </w:p>
    <w:p w14:paraId="387D357A" w14:textId="77777777" w:rsidR="006F46BF" w:rsidRDefault="00000000">
      <w:pPr>
        <w:widowControl w:val="0"/>
        <w:spacing w:beforeAutospacing="1" w:afterAutospacing="1"/>
        <w:rPr>
          <w:rFonts w:cs="Arial"/>
        </w:rPr>
      </w:pPr>
      <w:r>
        <w:rPr>
          <w:rFonts w:cs="Arial"/>
        </w:rPr>
        <w:t xml:space="preserve">The nonprofit groups that the City of Hamilton partners with provide various types of housing assistance, rehabilitation, rental assistance, homebuyer assistance, services to the elderly, homeless and special needs population. Nonprofit and direct housing providers </w:t>
      </w:r>
      <w:proofErr w:type="gramStart"/>
      <w:r>
        <w:rPr>
          <w:rFonts w:cs="Arial"/>
        </w:rPr>
        <w:t>include:</w:t>
      </w:r>
      <w:proofErr w:type="gramEnd"/>
      <w:r>
        <w:rPr>
          <w:rFonts w:cs="Arial"/>
        </w:rPr>
        <w:t xml:space="preserve"> Neighborhood Housing Services of Hamilton (NHSH), Supports to Encourage Low-Income Families (S.E.L.F.), Greater Miami Valley YMCA, Serve City, Fitton Center, Hamilton Law Department (Women Helping Women). Additionally, the </w:t>
      </w:r>
      <w:proofErr w:type="gramStart"/>
      <w:r>
        <w:rPr>
          <w:rFonts w:cs="Arial"/>
        </w:rPr>
        <w:t>City</w:t>
      </w:r>
      <w:proofErr w:type="gramEnd"/>
      <w:r>
        <w:rPr>
          <w:rFonts w:cs="Arial"/>
        </w:rPr>
        <w:t xml:space="preserve"> works with nonprofits that provide direct public services not only including housing assistance but also health, domestic violence, homeless prevention, youth programs, education, fair housing, and transportation services. </w:t>
      </w:r>
    </w:p>
    <w:p w14:paraId="3679579F" w14:textId="77777777" w:rsidR="006F46BF" w:rsidRDefault="00000000">
      <w:pPr>
        <w:widowControl w:val="0"/>
        <w:spacing w:beforeAutospacing="1" w:afterAutospacing="1"/>
        <w:rPr>
          <w:rFonts w:cs="Arial"/>
        </w:rPr>
      </w:pPr>
      <w:r>
        <w:rPr>
          <w:rFonts w:cs="Arial"/>
        </w:rPr>
        <w:t xml:space="preserve">Nonprofits that qualify as Community Housing Development Organizations (CHDO's) </w:t>
      </w:r>
      <w:proofErr w:type="gramStart"/>
      <w:r>
        <w:rPr>
          <w:rFonts w:cs="Arial"/>
        </w:rPr>
        <w:t>have the opportunity to</w:t>
      </w:r>
      <w:proofErr w:type="gramEnd"/>
      <w:r>
        <w:rPr>
          <w:rFonts w:cs="Arial"/>
        </w:rPr>
        <w:t xml:space="preserve"> operate construction of rental and first-time homebuyer programs. The CHDO for the City is Neighborhood Housing Services of Hamilton (NHSH). The </w:t>
      </w:r>
      <w:proofErr w:type="gramStart"/>
      <w:r>
        <w:rPr>
          <w:rFonts w:cs="Arial"/>
        </w:rPr>
        <w:t>City</w:t>
      </w:r>
      <w:proofErr w:type="gramEnd"/>
      <w:r>
        <w:rPr>
          <w:rFonts w:cs="Arial"/>
        </w:rPr>
        <w:t xml:space="preserve"> continues to provide needed technical assistance to NHSH and will continue to build sound working relationships with other agencies </w:t>
      </w:r>
      <w:r>
        <w:rPr>
          <w:rFonts w:cs="Arial"/>
        </w:rPr>
        <w:lastRenderedPageBreak/>
        <w:t>in the community. The City has also worked with the local Chamber of Commerce and the City's Economic Development Department regarding economic issues, increasing employment, and revitalization of the City's business districts.   </w:t>
      </w:r>
    </w:p>
    <w:p w14:paraId="6823417B" w14:textId="77777777" w:rsidR="006F46BF" w:rsidRDefault="00000000">
      <w:pPr>
        <w:widowControl w:val="0"/>
        <w:rPr>
          <w:b/>
          <w:sz w:val="24"/>
          <w:szCs w:val="24"/>
        </w:rPr>
      </w:pPr>
      <w:r>
        <w:rPr>
          <w:b/>
          <w:sz w:val="24"/>
          <w:szCs w:val="24"/>
        </w:rPr>
        <w:t>Identify actions taken to overcome the effects of any impediments identified in the jurisdictions analysis of impediments to fair housing choice.  91.520(a)</w:t>
      </w:r>
    </w:p>
    <w:p w14:paraId="2B93F9E8" w14:textId="77777777" w:rsidR="006F46BF" w:rsidRDefault="00000000">
      <w:pPr>
        <w:widowControl w:val="0"/>
        <w:spacing w:beforeAutospacing="1" w:afterAutospacing="1"/>
        <w:rPr>
          <w:rFonts w:cs="Arial"/>
        </w:rPr>
      </w:pPr>
      <w:r>
        <w:rPr>
          <w:rFonts w:cs="Arial"/>
        </w:rPr>
        <w:t>Please see AFH Achievement Update attached in appendix.</w:t>
      </w:r>
    </w:p>
    <w:p w14:paraId="66E6F42C" w14:textId="77777777" w:rsidR="006F46BF" w:rsidRDefault="00000000">
      <w:pPr>
        <w:pStyle w:val="Heading2"/>
        <w:pageBreakBefore/>
        <w:widowControl w:val="0"/>
        <w:rPr>
          <w:rFonts w:ascii="Calibri" w:hAnsi="Calibri"/>
          <w:i w:val="0"/>
        </w:rPr>
      </w:pPr>
      <w:r>
        <w:rPr>
          <w:rFonts w:ascii="Calibri" w:hAnsi="Calibri"/>
          <w:i w:val="0"/>
        </w:rPr>
        <w:lastRenderedPageBreak/>
        <w:t>CR-40 - Monitoring 91.220 and 91.230</w:t>
      </w:r>
    </w:p>
    <w:p w14:paraId="45323358" w14:textId="77777777" w:rsidR="006F46BF" w:rsidRDefault="00000000">
      <w:pPr>
        <w:widowControl w:val="0"/>
        <w:rPr>
          <w:b/>
          <w:sz w:val="24"/>
          <w:szCs w:val="24"/>
        </w:rPr>
      </w:pPr>
      <w:r>
        <w:rPr>
          <w:b/>
          <w:sz w:val="24"/>
          <w:szCs w:val="24"/>
        </w:rPr>
        <w:t xml:space="preserve">Describe the standards and procedures used to monitor activities carried out in furtherance of the plan and used to ensure long-term compliance with requirements of the programs involved, including minority business outreach and the comprehensive planning </w:t>
      </w:r>
      <w:proofErr w:type="gramStart"/>
      <w:r>
        <w:rPr>
          <w:b/>
          <w:sz w:val="24"/>
          <w:szCs w:val="24"/>
        </w:rPr>
        <w:t>requirements</w:t>
      </w:r>
      <w:proofErr w:type="gramEnd"/>
    </w:p>
    <w:p w14:paraId="31E89E5F" w14:textId="77777777" w:rsidR="006F46BF" w:rsidRDefault="006F46BF">
      <w:pPr>
        <w:widowControl w:val="0"/>
        <w:rPr>
          <w:rFonts w:cs="Arial"/>
        </w:rPr>
      </w:pPr>
    </w:p>
    <w:p w14:paraId="44106F77" w14:textId="77777777" w:rsidR="006F46BF" w:rsidRDefault="006F46BF">
      <w:pPr>
        <w:widowControl w:val="0"/>
        <w:rPr>
          <w:rFonts w:cs="Arial"/>
        </w:rPr>
      </w:pPr>
    </w:p>
    <w:p w14:paraId="4590F09C" w14:textId="77777777" w:rsidR="006F46BF" w:rsidRDefault="00000000">
      <w:pPr>
        <w:widowControl w:val="0"/>
        <w:spacing w:beforeAutospacing="1" w:afterAutospacing="1"/>
        <w:rPr>
          <w:rFonts w:cs="Arial"/>
        </w:rPr>
      </w:pPr>
      <w:r>
        <w:rPr>
          <w:rFonts w:cs="Arial"/>
        </w:rPr>
        <w:t xml:space="preserve">CDBG and HOME subrecipients are monitored pursuant the City of Hamilton's </w:t>
      </w:r>
      <w:proofErr w:type="spellStart"/>
      <w:r>
        <w:rPr>
          <w:rFonts w:cs="Arial"/>
        </w:rPr>
        <w:t>Subreceipienet</w:t>
      </w:r>
      <w:proofErr w:type="spellEnd"/>
      <w:r>
        <w:rPr>
          <w:rFonts w:cs="Arial"/>
        </w:rPr>
        <w:t xml:space="preserve"> Monitoring Policy. The City takes a proactive approach, each </w:t>
      </w:r>
      <w:proofErr w:type="spellStart"/>
      <w:r>
        <w:rPr>
          <w:rFonts w:cs="Arial"/>
        </w:rPr>
        <w:t>subreceipient</w:t>
      </w:r>
      <w:proofErr w:type="spellEnd"/>
      <w:r>
        <w:rPr>
          <w:rFonts w:cs="Arial"/>
        </w:rPr>
        <w:t xml:space="preserve"> at the beginning of their contract term are assessed for risk via the city's Risk Assessment Tool. The </w:t>
      </w:r>
      <w:proofErr w:type="gramStart"/>
      <w:r>
        <w:rPr>
          <w:rFonts w:cs="Arial"/>
        </w:rPr>
        <w:t>City</w:t>
      </w:r>
      <w:proofErr w:type="gramEnd"/>
      <w:r>
        <w:rPr>
          <w:rFonts w:cs="Arial"/>
        </w:rPr>
        <w:t xml:space="preserve"> then </w:t>
      </w:r>
      <w:proofErr w:type="spellStart"/>
      <w:r>
        <w:rPr>
          <w:rFonts w:cs="Arial"/>
        </w:rPr>
        <w:t>determinies</w:t>
      </w:r>
      <w:proofErr w:type="spellEnd"/>
      <w:r>
        <w:rPr>
          <w:rFonts w:cs="Arial"/>
        </w:rPr>
        <w:t xml:space="preserve"> the level of monitoring that will be needed for the </w:t>
      </w:r>
      <w:proofErr w:type="spellStart"/>
      <w:r>
        <w:rPr>
          <w:rFonts w:cs="Arial"/>
        </w:rPr>
        <w:t>subreceipient</w:t>
      </w:r>
      <w:proofErr w:type="spellEnd"/>
      <w:r>
        <w:rPr>
          <w:rFonts w:cs="Arial"/>
        </w:rPr>
        <w:t xml:space="preserve">. More specifically monitoring may include, but not be limited to desk monitoring (e.g. monthly as invoices and draw requests are received), onsite, </w:t>
      </w:r>
      <w:proofErr w:type="gramStart"/>
      <w:r>
        <w:rPr>
          <w:rFonts w:cs="Arial"/>
        </w:rPr>
        <w:t>monitoring,  and</w:t>
      </w:r>
      <w:proofErr w:type="gramEnd"/>
      <w:r>
        <w:rPr>
          <w:rFonts w:cs="Arial"/>
        </w:rPr>
        <w:t>/or virtual monitoring. </w:t>
      </w:r>
    </w:p>
    <w:p w14:paraId="646B7C58" w14:textId="77777777" w:rsidR="006F46BF" w:rsidRDefault="00000000">
      <w:pPr>
        <w:widowControl w:val="0"/>
        <w:spacing w:beforeAutospacing="1" w:afterAutospacing="1"/>
        <w:rPr>
          <w:rFonts w:cs="Arial"/>
        </w:rPr>
      </w:pPr>
      <w:proofErr w:type="gramStart"/>
      <w:r>
        <w:rPr>
          <w:rFonts w:cs="Arial"/>
        </w:rPr>
        <w:t>In regards to</w:t>
      </w:r>
      <w:proofErr w:type="gramEnd"/>
      <w:r>
        <w:rPr>
          <w:rFonts w:cs="Arial"/>
        </w:rPr>
        <w:t xml:space="preserve"> the City ensuring compliance and that minority business outreach is achieved, the City's subrecipient, YWCA Hamilton, utilizes CDBG funds for its Empowering Minority Businesses Program. The program has successfully worked to eliminate racism and empower current and potential minority business owners by providing training, information sessions, community outreach, and other applicable activities. Additionally, in monitoring subrecipients the city encourages that each applicable project complies with Section 3 standards and strives to utilize minority businesses as needed. </w:t>
      </w:r>
    </w:p>
    <w:p w14:paraId="0A8E167C" w14:textId="77777777" w:rsidR="006F46BF" w:rsidRDefault="006F46BF">
      <w:pPr>
        <w:widowControl w:val="0"/>
        <w:rPr>
          <w:rFonts w:cs="Arial"/>
        </w:rPr>
      </w:pPr>
    </w:p>
    <w:p w14:paraId="080156B6" w14:textId="77777777" w:rsidR="006F46BF" w:rsidRDefault="00000000">
      <w:pPr>
        <w:widowControl w:val="0"/>
        <w:rPr>
          <w:b/>
          <w:sz w:val="24"/>
          <w:szCs w:val="24"/>
        </w:rPr>
      </w:pPr>
      <w:r>
        <w:rPr>
          <w:b/>
          <w:sz w:val="24"/>
          <w:szCs w:val="24"/>
        </w:rPr>
        <w:t>Citizen Participation Plan 91.105(d); 91.115(d)</w:t>
      </w:r>
    </w:p>
    <w:p w14:paraId="3668386B" w14:textId="77777777" w:rsidR="006F46BF" w:rsidRDefault="00000000">
      <w:pPr>
        <w:widowControl w:val="0"/>
        <w:rPr>
          <w:sz w:val="24"/>
          <w:szCs w:val="24"/>
        </w:rPr>
      </w:pPr>
      <w:r>
        <w:rPr>
          <w:b/>
          <w:sz w:val="24"/>
          <w:szCs w:val="24"/>
        </w:rPr>
        <w:t>Describe the efforts to provide citizens with reasonable notice and an opportunity to comment on performance reports</w:t>
      </w:r>
      <w:r>
        <w:rPr>
          <w:sz w:val="24"/>
          <w:szCs w:val="24"/>
        </w:rPr>
        <w:t>.</w:t>
      </w:r>
    </w:p>
    <w:p w14:paraId="57493278" w14:textId="77777777" w:rsidR="006F46BF" w:rsidRDefault="00000000">
      <w:pPr>
        <w:spacing w:beforeAutospacing="1" w:afterAutospacing="1"/>
      </w:pPr>
      <w:r>
        <w:rPr>
          <w:b/>
        </w:rPr>
        <w:t xml:space="preserve">Public Meetings: </w:t>
      </w:r>
      <w:r>
        <w:t xml:space="preserve">The City also hosted </w:t>
      </w:r>
      <w:r>
        <w:rPr>
          <w:b/>
          <w:i/>
        </w:rPr>
        <w:t>three (3)</w:t>
      </w:r>
      <w:r>
        <w:t xml:space="preserve"> virtual public input meetings as part of the preparation of the Annual Action Plan. The meetings were held on two </w:t>
      </w:r>
      <w:r>
        <w:rPr>
          <w:b/>
        </w:rPr>
        <w:t xml:space="preserve">August 24, </w:t>
      </w:r>
      <w:proofErr w:type="gramStart"/>
      <w:r>
        <w:rPr>
          <w:b/>
        </w:rPr>
        <w:t>2021</w:t>
      </w:r>
      <w:proofErr w:type="gramEnd"/>
      <w:r>
        <w:t xml:space="preserve"> and one meeting on </w:t>
      </w:r>
      <w:r>
        <w:rPr>
          <w:b/>
        </w:rPr>
        <w:t>August 25, 2021</w:t>
      </w:r>
      <w:r>
        <w:t>.</w:t>
      </w:r>
    </w:p>
    <w:p w14:paraId="2E21F804" w14:textId="77777777" w:rsidR="006F46BF" w:rsidRDefault="00000000">
      <w:pPr>
        <w:spacing w:beforeAutospacing="1" w:afterAutospacing="1"/>
      </w:pPr>
      <w:r>
        <w:rPr>
          <w:b/>
        </w:rPr>
        <w:t xml:space="preserve">30 Day Public Comment Period: </w:t>
      </w:r>
      <w:r>
        <w:t xml:space="preserve">After the draft Annual Action Plan was prepared, there is a 30-Day Public Comment Period. A Legal Notice was </w:t>
      </w:r>
      <w:proofErr w:type="gramStart"/>
      <w:r>
        <w:t>published</w:t>
      </w:r>
      <w:proofErr w:type="gramEnd"/>
      <w:r>
        <w:t xml:space="preserve"> and the City website was updated to inform residents and interested parties where the draft Annual Action Plan was available for public review, including a list of places the draft was available for viewing. The draft period was from </w:t>
      </w:r>
      <w:r>
        <w:rPr>
          <w:b/>
        </w:rPr>
        <w:t xml:space="preserve">February 6, </w:t>
      </w:r>
      <w:proofErr w:type="gramStart"/>
      <w:r>
        <w:rPr>
          <w:b/>
        </w:rPr>
        <w:t>2021</w:t>
      </w:r>
      <w:proofErr w:type="gramEnd"/>
      <w:r>
        <w:t xml:space="preserve"> thru </w:t>
      </w:r>
      <w:r>
        <w:rPr>
          <w:b/>
        </w:rPr>
        <w:t>March 6, 2021</w:t>
      </w:r>
      <w:r>
        <w:t xml:space="preserve">. Any public comments received during this period were to be responded to in writing within fifteen (15) working days. The draft Annual Action Plan Update was also available for viewing or download from the City of Hamilton website. No comments were received. </w:t>
      </w:r>
      <w:proofErr w:type="gramStart"/>
      <w:r>
        <w:rPr>
          <w:i/>
        </w:rPr>
        <w:t>In regards to</w:t>
      </w:r>
      <w:proofErr w:type="gramEnd"/>
      <w:r>
        <w:rPr>
          <w:i/>
        </w:rPr>
        <w:t xml:space="preserve"> the </w:t>
      </w:r>
      <w:r>
        <w:rPr>
          <w:i/>
        </w:rPr>
        <w:lastRenderedPageBreak/>
        <w:t xml:space="preserve">CAPER, the City provides a 15-Day Comment period. The period </w:t>
      </w:r>
      <w:proofErr w:type="spellStart"/>
      <w:r>
        <w:rPr>
          <w:i/>
        </w:rPr>
        <w:t>period</w:t>
      </w:r>
      <w:proofErr w:type="spellEnd"/>
      <w:r>
        <w:rPr>
          <w:i/>
        </w:rPr>
        <w:t xml:space="preserve"> for comment was listed in the local journal news on </w:t>
      </w:r>
      <w:r>
        <w:rPr>
          <w:b/>
          <w:i/>
        </w:rPr>
        <w:t xml:space="preserve">July 5, </w:t>
      </w:r>
      <w:proofErr w:type="gramStart"/>
      <w:r>
        <w:rPr>
          <w:b/>
          <w:i/>
        </w:rPr>
        <w:t>2023</w:t>
      </w:r>
      <w:proofErr w:type="gramEnd"/>
      <w:r>
        <w:rPr>
          <w:i/>
        </w:rPr>
        <w:t xml:space="preserve"> and the actual comment period is </w:t>
      </w:r>
      <w:r>
        <w:rPr>
          <w:b/>
          <w:i/>
        </w:rPr>
        <w:t>July 5 thru July 20, 2023</w:t>
      </w:r>
      <w:r>
        <w:rPr>
          <w:i/>
        </w:rPr>
        <w:t xml:space="preserve">. A draft copy of the CAPER was also made available during this </w:t>
      </w:r>
      <w:proofErr w:type="gramStart"/>
      <w:r>
        <w:rPr>
          <w:i/>
        </w:rPr>
        <w:t>time period</w:t>
      </w:r>
      <w:proofErr w:type="gramEnd"/>
      <w:r>
        <w:rPr>
          <w:i/>
        </w:rPr>
        <w:t>. During this period no comments were received. (A copy of the Public Notice is included in the attachments)</w:t>
      </w:r>
    </w:p>
    <w:p w14:paraId="683483CC" w14:textId="77777777" w:rsidR="006F46BF" w:rsidRDefault="00000000">
      <w:pPr>
        <w:spacing w:beforeAutospacing="1" w:afterAutospacing="1"/>
      </w:pPr>
      <w:r>
        <w:rPr>
          <w:b/>
        </w:rPr>
        <w:t xml:space="preserve">Public Hearings: </w:t>
      </w:r>
      <w:r>
        <w:t xml:space="preserve">The city holds two public hearings </w:t>
      </w:r>
      <w:proofErr w:type="gramStart"/>
      <w:r>
        <w:t>in order to</w:t>
      </w:r>
      <w:proofErr w:type="gramEnd"/>
      <w:r>
        <w:t xml:space="preserve"> receive public comment on the Annual Action Plan for Fiscal Year 2022-2023 prior to submission to HUD. The first public hearing was held on</w:t>
      </w:r>
      <w:r>
        <w:rPr>
          <w:b/>
        </w:rPr>
        <w:t xml:space="preserve"> March 3, </w:t>
      </w:r>
      <w:proofErr w:type="gramStart"/>
      <w:r>
        <w:rPr>
          <w:b/>
        </w:rPr>
        <w:t>2022</w:t>
      </w:r>
      <w:proofErr w:type="gramEnd"/>
      <w:r>
        <w:t xml:space="preserve"> at 1:30 pm in City Council Chambers, and the second was held on </w:t>
      </w:r>
      <w:r>
        <w:rPr>
          <w:b/>
        </w:rPr>
        <w:t>March 9, 2022</w:t>
      </w:r>
      <w:r>
        <w:t xml:space="preserve"> at 6:00 pm during the City Council Meeting in City Council Chambers. During the public hearing a presentation was made which included the proposed draft budget allocation, and at both meetings no questions, comments or objections were expressed.</w:t>
      </w:r>
    </w:p>
    <w:p w14:paraId="41B11ADA" w14:textId="77777777" w:rsidR="006F46BF" w:rsidRDefault="00000000">
      <w:pPr>
        <w:spacing w:beforeAutospacing="1" w:afterAutospacing="1"/>
      </w:pPr>
      <w:r>
        <w:t xml:space="preserve">The Annual Action Plan Update, including Community Development Block Grant Project Use of Funds, the HOME Program Description and City’s Displacement Policy were, historically, to be submitted to HUD by March 15, 2022 (at least 45 days prior to our City’s Community Development Program Year, which begins May 1). However, as instructed by HUD Columbus, the </w:t>
      </w:r>
      <w:proofErr w:type="gramStart"/>
      <w:r>
        <w:t>City</w:t>
      </w:r>
      <w:proofErr w:type="gramEnd"/>
      <w:r>
        <w:t xml:space="preserve"> did not submit the AAP until actual allocations were announced. Ultimately resulting in the submittal of the AAP before the August 15, </w:t>
      </w:r>
      <w:proofErr w:type="gramStart"/>
      <w:r>
        <w:t>2022</w:t>
      </w:r>
      <w:proofErr w:type="gramEnd"/>
      <w:r>
        <w:t xml:space="preserve"> deadline. </w:t>
      </w:r>
    </w:p>
    <w:p w14:paraId="425FECB2" w14:textId="77777777" w:rsidR="006F46BF" w:rsidRDefault="00000000">
      <w:pPr>
        <w:keepNext/>
        <w:pageBreakBefore/>
        <w:widowControl w:val="0"/>
        <w:spacing w:before="240" w:after="60"/>
        <w:outlineLvl w:val="1"/>
        <w:rPr>
          <w:rFonts w:cs="Arial"/>
          <w:b/>
          <w:bCs/>
          <w:iCs/>
          <w:sz w:val="28"/>
          <w:szCs w:val="28"/>
        </w:rPr>
      </w:pPr>
      <w:r>
        <w:rPr>
          <w:rFonts w:cs="Arial"/>
          <w:b/>
          <w:bCs/>
          <w:iCs/>
          <w:sz w:val="28"/>
          <w:szCs w:val="28"/>
        </w:rPr>
        <w:lastRenderedPageBreak/>
        <w:t>CR-45 - CDBG 91.520(c)</w:t>
      </w:r>
    </w:p>
    <w:p w14:paraId="750837C9" w14:textId="77777777" w:rsidR="006F46BF" w:rsidRDefault="00000000">
      <w:pPr>
        <w:widowControl w:val="0"/>
        <w:rPr>
          <w:b/>
          <w:sz w:val="24"/>
          <w:szCs w:val="24"/>
        </w:rPr>
      </w:pPr>
      <w:r>
        <w:rPr>
          <w:b/>
          <w:sz w:val="24"/>
          <w:szCs w:val="24"/>
        </w:rPr>
        <w:t xml:space="preserve">Specify the nature of, and reasons for, any changes in the jurisdiction’s program objectives and indications of how the jurisdiction would change its programs </w:t>
      </w:r>
      <w:proofErr w:type="gramStart"/>
      <w:r>
        <w:rPr>
          <w:b/>
          <w:sz w:val="24"/>
          <w:szCs w:val="24"/>
        </w:rPr>
        <w:t>as a result of</w:t>
      </w:r>
      <w:proofErr w:type="gramEnd"/>
      <w:r>
        <w:rPr>
          <w:b/>
          <w:sz w:val="24"/>
          <w:szCs w:val="24"/>
        </w:rPr>
        <w:t xml:space="preserve"> its experiences.</w:t>
      </w:r>
    </w:p>
    <w:p w14:paraId="57511307" w14:textId="77777777" w:rsidR="006F46BF" w:rsidRDefault="00000000">
      <w:pPr>
        <w:widowControl w:val="0"/>
        <w:spacing w:beforeAutospacing="1" w:afterAutospacing="1"/>
        <w:rPr>
          <w:rFonts w:cs="Arial"/>
        </w:rPr>
      </w:pPr>
      <w:r>
        <w:rPr>
          <w:rFonts w:cs="Arial"/>
        </w:rPr>
        <w:t xml:space="preserve">The City of Hamilton has adjusted its objectives in the Consolidated Plan and Annual Action Plan to address the impediments revealed in the most recent Assessment of Fair Housing (AFH). The </w:t>
      </w:r>
      <w:proofErr w:type="gramStart"/>
      <w:r>
        <w:rPr>
          <w:rFonts w:cs="Arial"/>
        </w:rPr>
        <w:t>City</w:t>
      </w:r>
      <w:proofErr w:type="gramEnd"/>
      <w:r>
        <w:rPr>
          <w:rFonts w:cs="Arial"/>
        </w:rPr>
        <w:t xml:space="preserve"> has determined it necessary to continue to address housing availability and affordability for low-income persons/families. </w:t>
      </w:r>
    </w:p>
    <w:p w14:paraId="5C53DADE" w14:textId="77777777" w:rsidR="006F46BF" w:rsidRDefault="00000000">
      <w:pPr>
        <w:widowControl w:val="0"/>
        <w:rPr>
          <w:b/>
          <w:sz w:val="24"/>
          <w:szCs w:val="24"/>
        </w:rPr>
      </w:pPr>
      <w:r>
        <w:rPr>
          <w:b/>
          <w:sz w:val="24"/>
          <w:szCs w:val="24"/>
        </w:rPr>
        <w:t>Does this Jurisdiction have any open Brownfields Economic Development Initiative (BEDI) grants?</w:t>
      </w:r>
    </w:p>
    <w:p w14:paraId="180062FF" w14:textId="77777777" w:rsidR="006F46BF" w:rsidRDefault="00000000">
      <w:pPr>
        <w:widowControl w:val="0"/>
        <w:spacing w:beforeAutospacing="1" w:afterAutospacing="1"/>
        <w:rPr>
          <w:rFonts w:cs="Arial"/>
        </w:rPr>
      </w:pPr>
      <w:r>
        <w:rPr>
          <w:rFonts w:cs="Arial"/>
        </w:rPr>
        <w:t>No</w:t>
      </w:r>
    </w:p>
    <w:p w14:paraId="61E29D23" w14:textId="77777777" w:rsidR="006F46BF" w:rsidRDefault="00000000">
      <w:pPr>
        <w:widowControl w:val="0"/>
        <w:rPr>
          <w:b/>
          <w:sz w:val="24"/>
          <w:szCs w:val="24"/>
        </w:rPr>
      </w:pPr>
      <w:r>
        <w:rPr>
          <w:b/>
          <w:sz w:val="24"/>
          <w:szCs w:val="24"/>
        </w:rPr>
        <w:t xml:space="preserve">[BEDI </w:t>
      </w:r>
      <w:proofErr w:type="gramStart"/>
      <w:r>
        <w:rPr>
          <w:b/>
          <w:sz w:val="24"/>
          <w:szCs w:val="24"/>
        </w:rPr>
        <w:t>grantees]  Describe</w:t>
      </w:r>
      <w:proofErr w:type="gramEnd"/>
      <w:r>
        <w:rPr>
          <w:b/>
          <w:sz w:val="24"/>
          <w:szCs w:val="24"/>
        </w:rPr>
        <w:t xml:space="preserve"> accomplishments and program outcomes during the last year.</w:t>
      </w:r>
    </w:p>
    <w:p w14:paraId="4DB33303" w14:textId="77777777" w:rsidR="006F46BF" w:rsidRDefault="006F46BF">
      <w:pPr>
        <w:widowControl w:val="0"/>
        <w:rPr>
          <w:rFonts w:cs="Arial"/>
        </w:rPr>
      </w:pPr>
    </w:p>
    <w:p w14:paraId="6EB8D81F" w14:textId="77777777" w:rsidR="006F46BF" w:rsidRDefault="006F46BF"/>
    <w:p w14:paraId="44481BE4" w14:textId="77777777" w:rsidR="006F46BF" w:rsidRDefault="006F46BF"/>
    <w:p w14:paraId="1D62D2C5" w14:textId="77777777" w:rsidR="006F46BF" w:rsidRDefault="00000000">
      <w:pPr>
        <w:pStyle w:val="Heading2"/>
        <w:pageBreakBefore/>
        <w:widowControl w:val="0"/>
        <w:rPr>
          <w:rFonts w:ascii="Calibri" w:hAnsi="Calibri"/>
          <w:i w:val="0"/>
        </w:rPr>
      </w:pPr>
      <w:r>
        <w:rPr>
          <w:rFonts w:ascii="Calibri" w:hAnsi="Calibri"/>
          <w:i w:val="0"/>
        </w:rPr>
        <w:lastRenderedPageBreak/>
        <w:t>CR-50 - HOME 24 CFR 91.520(d)</w:t>
      </w:r>
    </w:p>
    <w:p w14:paraId="733C9A58" w14:textId="77777777" w:rsidR="006F46BF" w:rsidRDefault="00000000">
      <w:pPr>
        <w:widowControl w:val="0"/>
        <w:rPr>
          <w:b/>
          <w:sz w:val="24"/>
          <w:szCs w:val="24"/>
        </w:rPr>
      </w:pPr>
      <w:r>
        <w:rPr>
          <w:b/>
          <w:sz w:val="24"/>
          <w:szCs w:val="24"/>
        </w:rPr>
        <w:t xml:space="preserve">Include the results of on-site inspections of affordable rental housing assisted under the program to determine compliance with housing codes and other applicable </w:t>
      </w:r>
      <w:proofErr w:type="gramStart"/>
      <w:r>
        <w:rPr>
          <w:b/>
          <w:sz w:val="24"/>
          <w:szCs w:val="24"/>
        </w:rPr>
        <w:t>regulations</w:t>
      </w:r>
      <w:proofErr w:type="gramEnd"/>
      <w:r>
        <w:rPr>
          <w:b/>
          <w:sz w:val="24"/>
          <w:szCs w:val="24"/>
        </w:rPr>
        <w:t xml:space="preserve"> </w:t>
      </w:r>
    </w:p>
    <w:p w14:paraId="76FA0672" w14:textId="77777777" w:rsidR="006F46BF" w:rsidRDefault="00000000">
      <w:pPr>
        <w:widowControl w:val="0"/>
        <w:rPr>
          <w:sz w:val="24"/>
          <w:szCs w:val="24"/>
        </w:rPr>
      </w:pPr>
      <w:r>
        <w:rPr>
          <w:sz w:val="24"/>
          <w:szCs w:val="24"/>
        </w:rPr>
        <w:t>Please list those projects that should have been inspected on-site this program year based upon the schedule in 24 CFR §92.504(d). Indicate which of these were inspected and a summary of issues that were detected during the inspection. For those that were not inspected, please indicate the reason and how you will remedy the situation.</w:t>
      </w:r>
    </w:p>
    <w:p w14:paraId="70D63394" w14:textId="77777777" w:rsidR="006F46BF" w:rsidRDefault="00000000">
      <w:pPr>
        <w:widowControl w:val="0"/>
        <w:spacing w:beforeAutospacing="1" w:afterAutospacing="1"/>
        <w:rPr>
          <w:rFonts w:cs="Arial"/>
        </w:rPr>
      </w:pPr>
      <w:r>
        <w:rPr>
          <w:rFonts w:cs="Arial"/>
        </w:rPr>
        <w:t xml:space="preserve">Artspace - two units needed minor </w:t>
      </w:r>
      <w:proofErr w:type="gramStart"/>
      <w:r>
        <w:rPr>
          <w:rFonts w:cs="Arial"/>
        </w:rPr>
        <w:t>repairs</w:t>
      </w:r>
      <w:proofErr w:type="gramEnd"/>
      <w:r>
        <w:rPr>
          <w:rFonts w:cs="Arial"/>
        </w:rPr>
        <w:t xml:space="preserve"> and these were completed satisfactorily (bathroom vent inoperable and correction of ceiling) and two units were satisfactory.  The City of Hamilton is in the process of conducting on-site inspections for up to eleven affordable rental housing units located at the following organizations: Hamilton </w:t>
      </w:r>
      <w:proofErr w:type="spellStart"/>
      <w:r>
        <w:rPr>
          <w:rFonts w:cs="Arial"/>
        </w:rPr>
        <w:t>ArtSpace</w:t>
      </w:r>
      <w:proofErr w:type="spellEnd"/>
      <w:r>
        <w:rPr>
          <w:rFonts w:cs="Arial"/>
        </w:rPr>
        <w:t xml:space="preserve"> </w:t>
      </w:r>
      <w:proofErr w:type="gramStart"/>
      <w:r>
        <w:rPr>
          <w:rFonts w:cs="Arial"/>
        </w:rPr>
        <w:t>Lofts,  SERVE</w:t>
      </w:r>
      <w:proofErr w:type="gramEnd"/>
      <w:r>
        <w:rPr>
          <w:rFonts w:cs="Arial"/>
        </w:rPr>
        <w:t xml:space="preserve"> City - Shekinah Place &amp; CHOICES, and Partnerships for Housing - Group Homes.  </w:t>
      </w:r>
    </w:p>
    <w:p w14:paraId="6485B1D2" w14:textId="77777777" w:rsidR="006F46BF" w:rsidRDefault="00000000">
      <w:pPr>
        <w:widowControl w:val="0"/>
        <w:rPr>
          <w:b/>
          <w:sz w:val="24"/>
          <w:szCs w:val="24"/>
        </w:rPr>
      </w:pPr>
      <w:r>
        <w:rPr>
          <w:b/>
          <w:sz w:val="24"/>
          <w:szCs w:val="24"/>
        </w:rPr>
        <w:t>Provide an assessment of the jurisdiction's affirmative marketing actions for HOME units. 24 CFR 91.520(e) and 24 CFR 92.351(a)</w:t>
      </w:r>
    </w:p>
    <w:p w14:paraId="7803A545" w14:textId="77777777" w:rsidR="006F46BF" w:rsidRDefault="00000000">
      <w:pPr>
        <w:widowControl w:val="0"/>
        <w:spacing w:beforeAutospacing="1" w:afterAutospacing="1"/>
        <w:rPr>
          <w:rFonts w:cs="Arial"/>
        </w:rPr>
      </w:pPr>
      <w:r>
        <w:rPr>
          <w:rFonts w:cs="Arial"/>
        </w:rPr>
        <w:t>Projects of 5 units or more, shall comply with affirmative marketing requirements set forth in 24 CFR 92.351. Written documentation of affirmative marketing plan, efforts, and actions demonstrating compliance should be placed in project files.  </w:t>
      </w:r>
    </w:p>
    <w:p w14:paraId="3EE83C0E" w14:textId="77777777" w:rsidR="006F46BF" w:rsidRDefault="00000000">
      <w:pPr>
        <w:widowControl w:val="0"/>
        <w:rPr>
          <w:b/>
          <w:sz w:val="24"/>
          <w:szCs w:val="24"/>
        </w:rPr>
      </w:pPr>
      <w:r>
        <w:rPr>
          <w:b/>
          <w:sz w:val="24"/>
          <w:szCs w:val="24"/>
        </w:rPr>
        <w:t xml:space="preserve">Refer to IDIS reports to describe the amount and use of program income for projects, including the number of projects and owner and tenant </w:t>
      </w:r>
      <w:proofErr w:type="gramStart"/>
      <w:r>
        <w:rPr>
          <w:b/>
          <w:sz w:val="24"/>
          <w:szCs w:val="24"/>
        </w:rPr>
        <w:t>characteristics</w:t>
      </w:r>
      <w:proofErr w:type="gramEnd"/>
    </w:p>
    <w:p w14:paraId="6E54C5D1" w14:textId="77777777" w:rsidR="006F46BF" w:rsidRDefault="00000000">
      <w:pPr>
        <w:widowControl w:val="0"/>
        <w:spacing w:beforeAutospacing="1" w:afterAutospacing="1"/>
        <w:rPr>
          <w:rFonts w:cs="Arial"/>
        </w:rPr>
      </w:pPr>
      <w:r>
        <w:rPr>
          <w:rFonts w:cs="Arial"/>
        </w:rPr>
        <w:t xml:space="preserve">Program income totaling </w:t>
      </w:r>
      <w:r>
        <w:rPr>
          <w:rFonts w:cs="Arial"/>
          <w:i/>
        </w:rPr>
        <w:t>$19,495.90 ($15,004.42 &amp; $4,491.48)</w:t>
      </w:r>
      <w:r>
        <w:rPr>
          <w:rFonts w:cs="Arial"/>
        </w:rPr>
        <w:t xml:space="preserve"> was used for one homeowner CHDO Reserve project.</w:t>
      </w:r>
    </w:p>
    <w:p w14:paraId="4535CFDF" w14:textId="77777777" w:rsidR="006F46BF" w:rsidRDefault="00000000">
      <w:pPr>
        <w:widowControl w:val="0"/>
        <w:rPr>
          <w:b/>
          <w:sz w:val="24"/>
          <w:szCs w:val="24"/>
        </w:rPr>
      </w:pPr>
      <w:r>
        <w:rPr>
          <w:b/>
          <w:sz w:val="24"/>
          <w:szCs w:val="24"/>
        </w:rPr>
        <w:t>Describe other actions taken to foster and maintain affordable housing. 24 CFR 91.220(k) (STATES ONLY: Including the coordination of LIHTC with the development of affordable housing). 24 CFR 91.320(j)</w:t>
      </w:r>
    </w:p>
    <w:p w14:paraId="3C747C0C" w14:textId="77777777" w:rsidR="006F46BF" w:rsidRDefault="006F46BF">
      <w:pPr>
        <w:widowControl w:val="0"/>
        <w:rPr>
          <w:rFonts w:cs="Arial"/>
        </w:rPr>
      </w:pPr>
    </w:p>
    <w:p w14:paraId="5BC7B0A0" w14:textId="77777777" w:rsidR="006F46BF" w:rsidRDefault="006F46BF">
      <w:pPr>
        <w:widowControl w:val="0"/>
        <w:rPr>
          <w:rFonts w:cs="Arial"/>
          <w:szCs w:val="26"/>
        </w:rPr>
      </w:pPr>
    </w:p>
    <w:p w14:paraId="16CFC2EB" w14:textId="77777777" w:rsidR="006F46BF" w:rsidRDefault="006F46BF"/>
    <w:p w14:paraId="3B756E37" w14:textId="77777777" w:rsidR="006F46BF" w:rsidRDefault="006F46BF"/>
    <w:p w14:paraId="2311FA57" w14:textId="77777777" w:rsidR="006F46BF" w:rsidRDefault="00000000">
      <w:pPr>
        <w:pStyle w:val="Heading2"/>
        <w:keepNext w:val="0"/>
        <w:pageBreakBefore/>
        <w:widowControl w:val="0"/>
        <w:rPr>
          <w:rFonts w:ascii="Calibri" w:hAnsi="Calibri"/>
          <w:i w:val="0"/>
        </w:rPr>
      </w:pPr>
      <w:r>
        <w:rPr>
          <w:rFonts w:ascii="Calibri" w:hAnsi="Calibri"/>
          <w:i w:val="0"/>
        </w:rPr>
        <w:lastRenderedPageBreak/>
        <w:t>CR-58 – Section 3</w:t>
      </w:r>
    </w:p>
    <w:p w14:paraId="03BDA497" w14:textId="77777777" w:rsidR="006F46BF" w:rsidRDefault="00000000">
      <w:pPr>
        <w:widowControl w:val="0"/>
        <w:rPr>
          <w:b/>
          <w:sz w:val="24"/>
          <w:szCs w:val="24"/>
        </w:rPr>
      </w:pPr>
      <w:r>
        <w:rPr>
          <w:b/>
          <w:sz w:val="24"/>
          <w:szCs w:val="24"/>
        </w:rPr>
        <w:t xml:space="preserve">Identify the number of individuals assisted and the types of assistance </w:t>
      </w:r>
      <w:proofErr w:type="gramStart"/>
      <w:r>
        <w:rPr>
          <w:b/>
          <w:sz w:val="24"/>
          <w:szCs w:val="24"/>
        </w:rPr>
        <w:t>provided</w:t>
      </w:r>
      <w:proofErr w:type="gramEnd"/>
      <w:r>
        <w:rPr>
          <w:b/>
          <w:sz w:val="24"/>
          <w:szCs w:val="24"/>
        </w:rPr>
        <w:t xml:space="preserve"> </w:t>
      </w:r>
    </w:p>
    <w:p w14:paraId="1D5FE530" w14:textId="77777777" w:rsidR="006F46BF" w:rsidRDefault="006F46BF">
      <w:pPr>
        <w:widowControl w:val="0"/>
        <w:rPr>
          <w:sz w:val="24"/>
          <w:szCs w:val="24"/>
        </w:rPr>
      </w:pPr>
    </w:p>
    <w:tbl>
      <w:tblPr>
        <w:tblW w:w="5021"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5335"/>
        <w:gridCol w:w="793"/>
        <w:gridCol w:w="881"/>
        <w:gridCol w:w="706"/>
        <w:gridCol w:w="968"/>
        <w:gridCol w:w="706"/>
      </w:tblGrid>
      <w:tr w:rsidR="006F46BF" w14:paraId="46F246DB" w14:textId="77777777">
        <w:trPr>
          <w:cantSplit/>
        </w:trPr>
        <w:tc>
          <w:tcPr>
            <w:tcW w:w="5490" w:type="dxa"/>
          </w:tcPr>
          <w:p w14:paraId="02E81BFD" w14:textId="77777777" w:rsidR="006F46BF" w:rsidRDefault="00000000">
            <w:pPr>
              <w:keepNext/>
              <w:widowControl w:val="0"/>
              <w:tabs>
                <w:tab w:val="left" w:pos="2070"/>
              </w:tabs>
              <w:spacing w:after="0" w:line="240" w:lineRule="auto"/>
              <w:ind w:right="162"/>
              <w:jc w:val="center"/>
              <w:rPr>
                <w:b/>
              </w:rPr>
            </w:pPr>
            <w:r>
              <w:rPr>
                <w:b/>
              </w:rPr>
              <w:t>Total Labor Hours</w:t>
            </w:r>
          </w:p>
        </w:tc>
        <w:tc>
          <w:tcPr>
            <w:tcW w:w="810" w:type="dxa"/>
          </w:tcPr>
          <w:p w14:paraId="1D865935" w14:textId="77777777" w:rsidR="006F46BF" w:rsidRDefault="00000000">
            <w:pPr>
              <w:keepNext/>
              <w:widowControl w:val="0"/>
              <w:spacing w:after="0" w:line="240" w:lineRule="auto"/>
              <w:jc w:val="center"/>
              <w:rPr>
                <w:b/>
              </w:rPr>
            </w:pPr>
            <w:r>
              <w:rPr>
                <w:b/>
              </w:rPr>
              <w:t>CDBG</w:t>
            </w:r>
          </w:p>
        </w:tc>
        <w:tc>
          <w:tcPr>
            <w:tcW w:w="900" w:type="dxa"/>
          </w:tcPr>
          <w:p w14:paraId="461904BF" w14:textId="77777777" w:rsidR="006F46BF" w:rsidRDefault="00000000">
            <w:pPr>
              <w:keepNext/>
              <w:widowControl w:val="0"/>
              <w:spacing w:after="0" w:line="240" w:lineRule="auto"/>
              <w:jc w:val="center"/>
              <w:rPr>
                <w:b/>
              </w:rPr>
            </w:pPr>
            <w:r>
              <w:rPr>
                <w:b/>
              </w:rPr>
              <w:t>HOME</w:t>
            </w:r>
          </w:p>
        </w:tc>
        <w:tc>
          <w:tcPr>
            <w:tcW w:w="720" w:type="dxa"/>
          </w:tcPr>
          <w:p w14:paraId="48D7F099" w14:textId="77777777" w:rsidR="006F46BF" w:rsidRDefault="00000000">
            <w:pPr>
              <w:keepNext/>
              <w:widowControl w:val="0"/>
              <w:spacing w:after="0" w:line="240" w:lineRule="auto"/>
              <w:rPr>
                <w:b/>
              </w:rPr>
            </w:pPr>
            <w:r>
              <w:rPr>
                <w:b/>
              </w:rPr>
              <w:t>ESG</w:t>
            </w:r>
          </w:p>
        </w:tc>
        <w:tc>
          <w:tcPr>
            <w:tcW w:w="990" w:type="dxa"/>
          </w:tcPr>
          <w:p w14:paraId="1F35F5ED" w14:textId="77777777" w:rsidR="006F46BF" w:rsidRDefault="00000000">
            <w:pPr>
              <w:keepNext/>
              <w:widowControl w:val="0"/>
              <w:spacing w:after="0" w:line="240" w:lineRule="auto"/>
              <w:jc w:val="center"/>
              <w:rPr>
                <w:b/>
              </w:rPr>
            </w:pPr>
            <w:r>
              <w:rPr>
                <w:b/>
              </w:rPr>
              <w:t>HOPWA</w:t>
            </w:r>
          </w:p>
        </w:tc>
        <w:tc>
          <w:tcPr>
            <w:tcW w:w="720" w:type="dxa"/>
          </w:tcPr>
          <w:p w14:paraId="74283E7D" w14:textId="77777777" w:rsidR="006F46BF" w:rsidRDefault="00000000">
            <w:pPr>
              <w:keepNext/>
              <w:widowControl w:val="0"/>
              <w:spacing w:after="0" w:line="240" w:lineRule="auto"/>
              <w:jc w:val="center"/>
              <w:rPr>
                <w:b/>
              </w:rPr>
            </w:pPr>
            <w:r>
              <w:rPr>
                <w:b/>
              </w:rPr>
              <w:t>HTF</w:t>
            </w:r>
          </w:p>
        </w:tc>
      </w:tr>
      <w:tr w:rsidR="006F46BF" w14:paraId="62ED0B0E" w14:textId="77777777">
        <w:trPr>
          <w:cantSplit/>
        </w:trPr>
        <w:tc>
          <w:tcPr>
            <w:tcW w:w="5490" w:type="dxa"/>
            <w:vAlign w:val="center"/>
          </w:tcPr>
          <w:p w14:paraId="57952CBA" w14:textId="77777777" w:rsidR="006F46BF" w:rsidRDefault="00000000">
            <w:pPr>
              <w:spacing w:beforeAutospacing="1" w:afterAutospacing="1"/>
            </w:pPr>
            <w:r>
              <w:rPr>
                <w:rFonts w:ascii="Arial" w:hAnsi="Arial"/>
                <w:color w:val="25396E"/>
                <w:sz w:val="16"/>
              </w:rPr>
              <w:t>Total Number of Activities</w:t>
            </w:r>
          </w:p>
        </w:tc>
        <w:tc>
          <w:tcPr>
            <w:tcW w:w="810" w:type="dxa"/>
            <w:vAlign w:val="center"/>
          </w:tcPr>
          <w:p w14:paraId="10E1CE5D" w14:textId="77777777" w:rsidR="006F46BF" w:rsidRDefault="00000000">
            <w:pPr>
              <w:spacing w:beforeAutospacing="1" w:afterAutospacing="1"/>
              <w:jc w:val="right"/>
            </w:pPr>
            <w:r>
              <w:rPr>
                <w:rFonts w:ascii="Arial" w:hAnsi="Arial"/>
                <w:color w:val="000000"/>
                <w:sz w:val="16"/>
              </w:rPr>
              <w:t>1</w:t>
            </w:r>
          </w:p>
        </w:tc>
        <w:tc>
          <w:tcPr>
            <w:tcW w:w="900" w:type="dxa"/>
            <w:vAlign w:val="center"/>
          </w:tcPr>
          <w:p w14:paraId="41B683C0" w14:textId="77777777" w:rsidR="006F46BF" w:rsidRDefault="00000000">
            <w:pPr>
              <w:spacing w:beforeAutospacing="1" w:afterAutospacing="1"/>
              <w:jc w:val="right"/>
            </w:pPr>
            <w:r>
              <w:rPr>
                <w:rFonts w:ascii="Arial" w:hAnsi="Arial"/>
                <w:color w:val="000000"/>
                <w:sz w:val="16"/>
              </w:rPr>
              <w:t>1</w:t>
            </w:r>
          </w:p>
        </w:tc>
        <w:tc>
          <w:tcPr>
            <w:tcW w:w="720" w:type="dxa"/>
            <w:vAlign w:val="center"/>
          </w:tcPr>
          <w:p w14:paraId="11E93EE9" w14:textId="77777777" w:rsidR="006F46BF" w:rsidRDefault="00000000">
            <w:pPr>
              <w:spacing w:beforeAutospacing="1" w:afterAutospacing="1"/>
              <w:jc w:val="right"/>
            </w:pPr>
            <w:r>
              <w:rPr>
                <w:rFonts w:ascii="Arial" w:hAnsi="Arial"/>
                <w:color w:val="000000"/>
                <w:sz w:val="16"/>
              </w:rPr>
              <w:t>0</w:t>
            </w:r>
          </w:p>
        </w:tc>
        <w:tc>
          <w:tcPr>
            <w:tcW w:w="990" w:type="dxa"/>
            <w:vAlign w:val="center"/>
          </w:tcPr>
          <w:p w14:paraId="3C1F222C" w14:textId="77777777" w:rsidR="006F46BF" w:rsidRDefault="00000000">
            <w:pPr>
              <w:spacing w:beforeAutospacing="1" w:afterAutospacing="1"/>
              <w:jc w:val="right"/>
            </w:pPr>
            <w:r>
              <w:rPr>
                <w:rFonts w:ascii="Arial" w:hAnsi="Arial"/>
                <w:color w:val="000000"/>
                <w:sz w:val="16"/>
              </w:rPr>
              <w:t>0</w:t>
            </w:r>
          </w:p>
        </w:tc>
        <w:tc>
          <w:tcPr>
            <w:tcW w:w="720" w:type="dxa"/>
            <w:vAlign w:val="center"/>
          </w:tcPr>
          <w:p w14:paraId="116ECE4D" w14:textId="77777777" w:rsidR="006F46BF" w:rsidRDefault="00000000">
            <w:pPr>
              <w:spacing w:beforeAutospacing="1" w:afterAutospacing="1"/>
              <w:jc w:val="right"/>
            </w:pPr>
            <w:r>
              <w:rPr>
                <w:rFonts w:ascii="Arial" w:hAnsi="Arial"/>
                <w:color w:val="000000"/>
                <w:sz w:val="16"/>
              </w:rPr>
              <w:t>0</w:t>
            </w:r>
          </w:p>
        </w:tc>
      </w:tr>
      <w:tr w:rsidR="006F46BF" w14:paraId="5C4E0557" w14:textId="77777777">
        <w:trPr>
          <w:cantSplit/>
        </w:trPr>
        <w:tc>
          <w:tcPr>
            <w:tcW w:w="5490" w:type="dxa"/>
            <w:vAlign w:val="center"/>
          </w:tcPr>
          <w:p w14:paraId="3ACE02EF" w14:textId="77777777" w:rsidR="006F46BF" w:rsidRDefault="00000000">
            <w:pPr>
              <w:spacing w:beforeAutospacing="1" w:afterAutospacing="1"/>
            </w:pPr>
            <w:r>
              <w:rPr>
                <w:rFonts w:ascii="Arial" w:hAnsi="Arial"/>
                <w:color w:val="25396E"/>
                <w:sz w:val="16"/>
              </w:rPr>
              <w:t>Total Labor Hours</w:t>
            </w:r>
          </w:p>
        </w:tc>
        <w:tc>
          <w:tcPr>
            <w:tcW w:w="810" w:type="dxa"/>
            <w:vAlign w:val="center"/>
          </w:tcPr>
          <w:p w14:paraId="0C53656A" w14:textId="77777777" w:rsidR="006F46BF" w:rsidRDefault="00000000">
            <w:pPr>
              <w:spacing w:beforeAutospacing="1" w:afterAutospacing="1"/>
              <w:jc w:val="right"/>
            </w:pPr>
            <w:r>
              <w:rPr>
                <w:rFonts w:ascii="Arial" w:hAnsi="Arial"/>
                <w:color w:val="000000"/>
                <w:sz w:val="16"/>
              </w:rPr>
              <w:t>0</w:t>
            </w:r>
          </w:p>
        </w:tc>
        <w:tc>
          <w:tcPr>
            <w:tcW w:w="900" w:type="dxa"/>
            <w:vAlign w:val="center"/>
          </w:tcPr>
          <w:p w14:paraId="76665E22" w14:textId="77777777" w:rsidR="006F46BF" w:rsidRDefault="00000000">
            <w:pPr>
              <w:spacing w:beforeAutospacing="1" w:afterAutospacing="1"/>
              <w:jc w:val="right"/>
            </w:pPr>
            <w:r>
              <w:rPr>
                <w:rFonts w:ascii="Arial" w:hAnsi="Arial"/>
                <w:color w:val="000000"/>
                <w:sz w:val="16"/>
              </w:rPr>
              <w:t xml:space="preserve"> </w:t>
            </w:r>
          </w:p>
        </w:tc>
        <w:tc>
          <w:tcPr>
            <w:tcW w:w="720" w:type="dxa"/>
            <w:vAlign w:val="center"/>
          </w:tcPr>
          <w:p w14:paraId="50363B42" w14:textId="77777777" w:rsidR="006F46BF" w:rsidRDefault="00000000">
            <w:pPr>
              <w:spacing w:beforeAutospacing="1" w:afterAutospacing="1"/>
              <w:jc w:val="right"/>
            </w:pPr>
            <w:r>
              <w:rPr>
                <w:rFonts w:ascii="Arial" w:hAnsi="Arial"/>
                <w:color w:val="000000"/>
                <w:sz w:val="16"/>
              </w:rPr>
              <w:t xml:space="preserve"> </w:t>
            </w:r>
          </w:p>
        </w:tc>
        <w:tc>
          <w:tcPr>
            <w:tcW w:w="990" w:type="dxa"/>
            <w:vAlign w:val="center"/>
          </w:tcPr>
          <w:p w14:paraId="4B8C2506" w14:textId="77777777" w:rsidR="006F46BF" w:rsidRDefault="00000000">
            <w:pPr>
              <w:spacing w:beforeAutospacing="1" w:afterAutospacing="1"/>
              <w:jc w:val="right"/>
            </w:pPr>
            <w:r>
              <w:rPr>
                <w:rFonts w:ascii="Arial" w:hAnsi="Arial"/>
                <w:color w:val="000000"/>
                <w:sz w:val="16"/>
              </w:rPr>
              <w:t xml:space="preserve"> </w:t>
            </w:r>
          </w:p>
        </w:tc>
        <w:tc>
          <w:tcPr>
            <w:tcW w:w="720" w:type="dxa"/>
            <w:vAlign w:val="center"/>
          </w:tcPr>
          <w:p w14:paraId="5A752D0C" w14:textId="77777777" w:rsidR="006F46BF" w:rsidRDefault="00000000">
            <w:pPr>
              <w:spacing w:beforeAutospacing="1" w:afterAutospacing="1"/>
              <w:jc w:val="right"/>
            </w:pPr>
            <w:r>
              <w:rPr>
                <w:rFonts w:ascii="Arial" w:hAnsi="Arial"/>
                <w:color w:val="000000"/>
                <w:sz w:val="16"/>
              </w:rPr>
              <w:t xml:space="preserve"> </w:t>
            </w:r>
          </w:p>
        </w:tc>
      </w:tr>
      <w:tr w:rsidR="006F46BF" w14:paraId="4D9C3D49" w14:textId="77777777">
        <w:trPr>
          <w:cantSplit/>
        </w:trPr>
        <w:tc>
          <w:tcPr>
            <w:tcW w:w="5490" w:type="dxa"/>
            <w:vAlign w:val="center"/>
          </w:tcPr>
          <w:p w14:paraId="382FCE98" w14:textId="77777777" w:rsidR="006F46BF" w:rsidRDefault="00000000">
            <w:pPr>
              <w:spacing w:beforeAutospacing="1" w:afterAutospacing="1"/>
            </w:pPr>
            <w:r>
              <w:rPr>
                <w:rFonts w:ascii="Arial" w:hAnsi="Arial"/>
                <w:color w:val="25396E"/>
                <w:sz w:val="16"/>
              </w:rPr>
              <w:t>Total Section 3 Worker Hours</w:t>
            </w:r>
          </w:p>
        </w:tc>
        <w:tc>
          <w:tcPr>
            <w:tcW w:w="810" w:type="dxa"/>
            <w:vAlign w:val="center"/>
          </w:tcPr>
          <w:p w14:paraId="1D157DF4" w14:textId="77777777" w:rsidR="006F46BF" w:rsidRDefault="00000000">
            <w:pPr>
              <w:spacing w:beforeAutospacing="1" w:afterAutospacing="1"/>
              <w:jc w:val="right"/>
            </w:pPr>
            <w:r>
              <w:rPr>
                <w:rFonts w:ascii="Arial" w:hAnsi="Arial"/>
                <w:color w:val="000000"/>
                <w:sz w:val="16"/>
              </w:rPr>
              <w:t>0</w:t>
            </w:r>
          </w:p>
        </w:tc>
        <w:tc>
          <w:tcPr>
            <w:tcW w:w="900" w:type="dxa"/>
            <w:vAlign w:val="center"/>
          </w:tcPr>
          <w:p w14:paraId="5C8DC039" w14:textId="77777777" w:rsidR="006F46BF" w:rsidRDefault="00000000">
            <w:pPr>
              <w:spacing w:beforeAutospacing="1" w:afterAutospacing="1"/>
              <w:jc w:val="right"/>
            </w:pPr>
            <w:r>
              <w:rPr>
                <w:rFonts w:ascii="Arial" w:hAnsi="Arial"/>
                <w:color w:val="000000"/>
                <w:sz w:val="16"/>
              </w:rPr>
              <w:t xml:space="preserve"> </w:t>
            </w:r>
          </w:p>
        </w:tc>
        <w:tc>
          <w:tcPr>
            <w:tcW w:w="720" w:type="dxa"/>
            <w:vAlign w:val="center"/>
          </w:tcPr>
          <w:p w14:paraId="45142898" w14:textId="77777777" w:rsidR="006F46BF" w:rsidRDefault="00000000">
            <w:pPr>
              <w:spacing w:beforeAutospacing="1" w:afterAutospacing="1"/>
              <w:jc w:val="right"/>
            </w:pPr>
            <w:r>
              <w:rPr>
                <w:rFonts w:ascii="Arial" w:hAnsi="Arial"/>
                <w:color w:val="000000"/>
                <w:sz w:val="16"/>
              </w:rPr>
              <w:t xml:space="preserve"> </w:t>
            </w:r>
          </w:p>
        </w:tc>
        <w:tc>
          <w:tcPr>
            <w:tcW w:w="990" w:type="dxa"/>
            <w:vAlign w:val="center"/>
          </w:tcPr>
          <w:p w14:paraId="3166198D" w14:textId="77777777" w:rsidR="006F46BF" w:rsidRDefault="00000000">
            <w:pPr>
              <w:spacing w:beforeAutospacing="1" w:afterAutospacing="1"/>
              <w:jc w:val="right"/>
            </w:pPr>
            <w:r>
              <w:rPr>
                <w:rFonts w:ascii="Arial" w:hAnsi="Arial"/>
                <w:color w:val="000000"/>
                <w:sz w:val="16"/>
              </w:rPr>
              <w:t xml:space="preserve"> </w:t>
            </w:r>
          </w:p>
        </w:tc>
        <w:tc>
          <w:tcPr>
            <w:tcW w:w="720" w:type="dxa"/>
            <w:vAlign w:val="center"/>
          </w:tcPr>
          <w:p w14:paraId="34EEF0E4" w14:textId="77777777" w:rsidR="006F46BF" w:rsidRDefault="00000000">
            <w:pPr>
              <w:spacing w:beforeAutospacing="1" w:afterAutospacing="1"/>
              <w:jc w:val="right"/>
            </w:pPr>
            <w:r>
              <w:rPr>
                <w:rFonts w:ascii="Arial" w:hAnsi="Arial"/>
                <w:color w:val="000000"/>
                <w:sz w:val="16"/>
              </w:rPr>
              <w:t xml:space="preserve"> </w:t>
            </w:r>
          </w:p>
        </w:tc>
      </w:tr>
      <w:tr w:rsidR="006F46BF" w14:paraId="5C8BF297" w14:textId="77777777">
        <w:trPr>
          <w:cantSplit/>
        </w:trPr>
        <w:tc>
          <w:tcPr>
            <w:tcW w:w="5490" w:type="dxa"/>
            <w:vAlign w:val="center"/>
          </w:tcPr>
          <w:p w14:paraId="7DE7E6EB" w14:textId="77777777" w:rsidR="006F46BF" w:rsidRDefault="00000000">
            <w:pPr>
              <w:spacing w:beforeAutospacing="1" w:afterAutospacing="1"/>
            </w:pPr>
            <w:r>
              <w:rPr>
                <w:rFonts w:ascii="Arial" w:hAnsi="Arial"/>
                <w:color w:val="25396E"/>
                <w:sz w:val="16"/>
              </w:rPr>
              <w:t>Total Targeted Section 3 Worker Hours</w:t>
            </w:r>
          </w:p>
        </w:tc>
        <w:tc>
          <w:tcPr>
            <w:tcW w:w="810" w:type="dxa"/>
            <w:vAlign w:val="center"/>
          </w:tcPr>
          <w:p w14:paraId="4492B790" w14:textId="77777777" w:rsidR="006F46BF" w:rsidRDefault="00000000">
            <w:pPr>
              <w:spacing w:beforeAutospacing="1" w:afterAutospacing="1"/>
              <w:jc w:val="right"/>
            </w:pPr>
            <w:r>
              <w:rPr>
                <w:rFonts w:ascii="Arial" w:hAnsi="Arial"/>
                <w:color w:val="000000"/>
                <w:sz w:val="16"/>
              </w:rPr>
              <w:t>0</w:t>
            </w:r>
          </w:p>
        </w:tc>
        <w:tc>
          <w:tcPr>
            <w:tcW w:w="900" w:type="dxa"/>
            <w:vAlign w:val="center"/>
          </w:tcPr>
          <w:p w14:paraId="4B98E242" w14:textId="77777777" w:rsidR="006F46BF" w:rsidRDefault="00000000">
            <w:pPr>
              <w:spacing w:beforeAutospacing="1" w:afterAutospacing="1"/>
              <w:jc w:val="right"/>
            </w:pPr>
            <w:r>
              <w:rPr>
                <w:rFonts w:ascii="Arial" w:hAnsi="Arial"/>
                <w:color w:val="000000"/>
                <w:sz w:val="16"/>
              </w:rPr>
              <w:t xml:space="preserve"> </w:t>
            </w:r>
          </w:p>
        </w:tc>
        <w:tc>
          <w:tcPr>
            <w:tcW w:w="720" w:type="dxa"/>
            <w:vAlign w:val="center"/>
          </w:tcPr>
          <w:p w14:paraId="432CDABD" w14:textId="77777777" w:rsidR="006F46BF" w:rsidRDefault="00000000">
            <w:pPr>
              <w:spacing w:beforeAutospacing="1" w:afterAutospacing="1"/>
              <w:jc w:val="right"/>
            </w:pPr>
            <w:r>
              <w:rPr>
                <w:rFonts w:ascii="Arial" w:hAnsi="Arial"/>
                <w:color w:val="000000"/>
                <w:sz w:val="16"/>
              </w:rPr>
              <w:t xml:space="preserve"> </w:t>
            </w:r>
          </w:p>
        </w:tc>
        <w:tc>
          <w:tcPr>
            <w:tcW w:w="990" w:type="dxa"/>
            <w:vAlign w:val="center"/>
          </w:tcPr>
          <w:p w14:paraId="2AD0598E" w14:textId="77777777" w:rsidR="006F46BF" w:rsidRDefault="00000000">
            <w:pPr>
              <w:spacing w:beforeAutospacing="1" w:afterAutospacing="1"/>
              <w:jc w:val="right"/>
            </w:pPr>
            <w:r>
              <w:rPr>
                <w:rFonts w:ascii="Arial" w:hAnsi="Arial"/>
                <w:color w:val="000000"/>
                <w:sz w:val="16"/>
              </w:rPr>
              <w:t xml:space="preserve"> </w:t>
            </w:r>
          </w:p>
        </w:tc>
        <w:tc>
          <w:tcPr>
            <w:tcW w:w="720" w:type="dxa"/>
            <w:vAlign w:val="center"/>
          </w:tcPr>
          <w:p w14:paraId="16086EB6" w14:textId="77777777" w:rsidR="006F46BF" w:rsidRDefault="00000000">
            <w:pPr>
              <w:spacing w:beforeAutospacing="1" w:afterAutospacing="1"/>
              <w:jc w:val="right"/>
            </w:pPr>
            <w:r>
              <w:rPr>
                <w:rFonts w:ascii="Arial" w:hAnsi="Arial"/>
                <w:color w:val="000000"/>
                <w:sz w:val="16"/>
              </w:rPr>
              <w:t xml:space="preserve"> </w:t>
            </w:r>
          </w:p>
        </w:tc>
      </w:tr>
    </w:tbl>
    <w:p w14:paraId="7FE666B7" w14:textId="77777777" w:rsidR="006F46BF" w:rsidRDefault="00000000">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15</w:t>
      </w:r>
      <w:r>
        <w:rPr>
          <w:rFonts w:asciiTheme="minorHAnsi" w:hAnsiTheme="minorHAnsi"/>
        </w:rPr>
        <w:fldChar w:fldCharType="end"/>
      </w:r>
      <w:r>
        <w:rPr>
          <w:rFonts w:asciiTheme="minorHAnsi" w:hAnsiTheme="minorHAnsi"/>
        </w:rPr>
        <w:t xml:space="preserve"> – Total Labor Hours</w:t>
      </w:r>
    </w:p>
    <w:p w14:paraId="44FF6ED8" w14:textId="77777777" w:rsidR="006F46BF" w:rsidRDefault="006F46BF">
      <w:pPr>
        <w:widowControl w:val="0"/>
        <w:rPr>
          <w:b/>
          <w:sz w:val="24"/>
          <w:szCs w:val="24"/>
        </w:rPr>
      </w:pPr>
    </w:p>
    <w:tbl>
      <w:tblPr>
        <w:tblW w:w="5021"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5335"/>
        <w:gridCol w:w="793"/>
        <w:gridCol w:w="881"/>
        <w:gridCol w:w="706"/>
        <w:gridCol w:w="968"/>
        <w:gridCol w:w="706"/>
      </w:tblGrid>
      <w:tr w:rsidR="006F46BF" w14:paraId="3C3618D9" w14:textId="77777777">
        <w:trPr>
          <w:cantSplit/>
        </w:trPr>
        <w:tc>
          <w:tcPr>
            <w:tcW w:w="5490" w:type="dxa"/>
          </w:tcPr>
          <w:p w14:paraId="164C31C2" w14:textId="77777777" w:rsidR="006F46BF" w:rsidRDefault="00000000">
            <w:pPr>
              <w:keepNext/>
              <w:widowControl w:val="0"/>
              <w:tabs>
                <w:tab w:val="left" w:pos="2070"/>
              </w:tabs>
              <w:spacing w:after="0" w:line="240" w:lineRule="auto"/>
              <w:ind w:right="162"/>
              <w:jc w:val="center"/>
              <w:rPr>
                <w:b/>
              </w:rPr>
            </w:pPr>
            <w:r>
              <w:rPr>
                <w:b/>
              </w:rPr>
              <w:t>Qualitative Efforts - Number of Activities by Program</w:t>
            </w:r>
          </w:p>
        </w:tc>
        <w:tc>
          <w:tcPr>
            <w:tcW w:w="810" w:type="dxa"/>
          </w:tcPr>
          <w:p w14:paraId="041D986D" w14:textId="77777777" w:rsidR="006F46BF" w:rsidRDefault="00000000">
            <w:pPr>
              <w:keepNext/>
              <w:widowControl w:val="0"/>
              <w:spacing w:after="0" w:line="240" w:lineRule="auto"/>
              <w:jc w:val="center"/>
              <w:rPr>
                <w:b/>
              </w:rPr>
            </w:pPr>
            <w:r>
              <w:rPr>
                <w:b/>
              </w:rPr>
              <w:t>CDBG</w:t>
            </w:r>
          </w:p>
        </w:tc>
        <w:tc>
          <w:tcPr>
            <w:tcW w:w="900" w:type="dxa"/>
          </w:tcPr>
          <w:p w14:paraId="7E6D42DE" w14:textId="77777777" w:rsidR="006F46BF" w:rsidRDefault="00000000">
            <w:pPr>
              <w:keepNext/>
              <w:widowControl w:val="0"/>
              <w:spacing w:after="0" w:line="240" w:lineRule="auto"/>
              <w:jc w:val="center"/>
              <w:rPr>
                <w:b/>
              </w:rPr>
            </w:pPr>
            <w:r>
              <w:rPr>
                <w:b/>
              </w:rPr>
              <w:t>HOME</w:t>
            </w:r>
          </w:p>
        </w:tc>
        <w:tc>
          <w:tcPr>
            <w:tcW w:w="720" w:type="dxa"/>
          </w:tcPr>
          <w:p w14:paraId="40AB4478" w14:textId="77777777" w:rsidR="006F46BF" w:rsidRDefault="00000000">
            <w:pPr>
              <w:keepNext/>
              <w:widowControl w:val="0"/>
              <w:spacing w:after="0" w:line="240" w:lineRule="auto"/>
              <w:rPr>
                <w:b/>
              </w:rPr>
            </w:pPr>
            <w:r>
              <w:rPr>
                <w:b/>
              </w:rPr>
              <w:t>ESG</w:t>
            </w:r>
          </w:p>
        </w:tc>
        <w:tc>
          <w:tcPr>
            <w:tcW w:w="990" w:type="dxa"/>
          </w:tcPr>
          <w:p w14:paraId="056E9952" w14:textId="77777777" w:rsidR="006F46BF" w:rsidRDefault="00000000">
            <w:pPr>
              <w:keepNext/>
              <w:widowControl w:val="0"/>
              <w:spacing w:after="0" w:line="240" w:lineRule="auto"/>
              <w:jc w:val="center"/>
              <w:rPr>
                <w:b/>
              </w:rPr>
            </w:pPr>
            <w:r>
              <w:rPr>
                <w:b/>
              </w:rPr>
              <w:t>HOPWA</w:t>
            </w:r>
          </w:p>
        </w:tc>
        <w:tc>
          <w:tcPr>
            <w:tcW w:w="720" w:type="dxa"/>
          </w:tcPr>
          <w:p w14:paraId="7EFC9D93" w14:textId="77777777" w:rsidR="006F46BF" w:rsidRDefault="00000000">
            <w:pPr>
              <w:keepNext/>
              <w:widowControl w:val="0"/>
              <w:spacing w:after="0" w:line="240" w:lineRule="auto"/>
              <w:jc w:val="center"/>
              <w:rPr>
                <w:b/>
              </w:rPr>
            </w:pPr>
            <w:r>
              <w:rPr>
                <w:b/>
              </w:rPr>
              <w:t>HTF</w:t>
            </w:r>
          </w:p>
        </w:tc>
      </w:tr>
      <w:tr w:rsidR="006F46BF" w14:paraId="4A549B11" w14:textId="77777777">
        <w:trPr>
          <w:cantSplit/>
        </w:trPr>
        <w:tc>
          <w:tcPr>
            <w:tcW w:w="5490" w:type="dxa"/>
            <w:vAlign w:val="center"/>
          </w:tcPr>
          <w:p w14:paraId="02640DD5" w14:textId="77777777" w:rsidR="006F46BF" w:rsidRDefault="00000000">
            <w:pPr>
              <w:spacing w:beforeAutospacing="1" w:afterAutospacing="1"/>
            </w:pPr>
            <w:r>
              <w:rPr>
                <w:rFonts w:ascii="Arial" w:hAnsi="Arial"/>
                <w:color w:val="25396E"/>
                <w:sz w:val="16"/>
              </w:rPr>
              <w:t>Outreach efforts to generate job applicants who are Public Housing Targeted Workers</w:t>
            </w:r>
          </w:p>
        </w:tc>
        <w:tc>
          <w:tcPr>
            <w:tcW w:w="810" w:type="dxa"/>
            <w:vAlign w:val="center"/>
          </w:tcPr>
          <w:p w14:paraId="5373656A" w14:textId="77777777" w:rsidR="006F46BF" w:rsidRDefault="00000000">
            <w:pPr>
              <w:spacing w:beforeAutospacing="1" w:afterAutospacing="1"/>
              <w:jc w:val="right"/>
            </w:pPr>
            <w:r>
              <w:rPr>
                <w:rFonts w:ascii="Arial" w:hAnsi="Arial"/>
                <w:color w:val="000000"/>
                <w:sz w:val="16"/>
              </w:rPr>
              <w:t>0</w:t>
            </w:r>
          </w:p>
        </w:tc>
        <w:tc>
          <w:tcPr>
            <w:tcW w:w="900" w:type="dxa"/>
            <w:vAlign w:val="center"/>
          </w:tcPr>
          <w:p w14:paraId="0D0686D4" w14:textId="77777777" w:rsidR="006F46BF" w:rsidRDefault="00000000">
            <w:pPr>
              <w:spacing w:beforeAutospacing="1" w:afterAutospacing="1"/>
              <w:jc w:val="right"/>
            </w:pPr>
            <w:r>
              <w:rPr>
                <w:rFonts w:ascii="Arial" w:hAnsi="Arial"/>
                <w:color w:val="000000"/>
                <w:sz w:val="16"/>
              </w:rPr>
              <w:t>0</w:t>
            </w:r>
          </w:p>
        </w:tc>
        <w:tc>
          <w:tcPr>
            <w:tcW w:w="720" w:type="dxa"/>
            <w:vAlign w:val="center"/>
          </w:tcPr>
          <w:p w14:paraId="4E6F2C09" w14:textId="77777777" w:rsidR="006F46BF" w:rsidRDefault="00000000">
            <w:pPr>
              <w:spacing w:beforeAutospacing="1" w:afterAutospacing="1"/>
              <w:jc w:val="right"/>
            </w:pPr>
            <w:r>
              <w:rPr>
                <w:rFonts w:ascii="Arial" w:hAnsi="Arial"/>
                <w:color w:val="000000"/>
                <w:sz w:val="16"/>
              </w:rPr>
              <w:t xml:space="preserve"> </w:t>
            </w:r>
          </w:p>
        </w:tc>
        <w:tc>
          <w:tcPr>
            <w:tcW w:w="990" w:type="dxa"/>
            <w:vAlign w:val="center"/>
          </w:tcPr>
          <w:p w14:paraId="19F937E1" w14:textId="77777777" w:rsidR="006F46BF" w:rsidRDefault="00000000">
            <w:pPr>
              <w:spacing w:beforeAutospacing="1" w:afterAutospacing="1"/>
              <w:jc w:val="right"/>
            </w:pPr>
            <w:r>
              <w:rPr>
                <w:rFonts w:ascii="Arial" w:hAnsi="Arial"/>
                <w:color w:val="000000"/>
                <w:sz w:val="16"/>
              </w:rPr>
              <w:t xml:space="preserve"> </w:t>
            </w:r>
          </w:p>
        </w:tc>
        <w:tc>
          <w:tcPr>
            <w:tcW w:w="720" w:type="dxa"/>
            <w:vAlign w:val="center"/>
          </w:tcPr>
          <w:p w14:paraId="08E167B7" w14:textId="77777777" w:rsidR="006F46BF" w:rsidRDefault="00000000">
            <w:pPr>
              <w:spacing w:beforeAutospacing="1" w:afterAutospacing="1"/>
              <w:jc w:val="right"/>
            </w:pPr>
            <w:r>
              <w:rPr>
                <w:rFonts w:ascii="Arial" w:hAnsi="Arial"/>
                <w:color w:val="000000"/>
                <w:sz w:val="16"/>
              </w:rPr>
              <w:t xml:space="preserve"> </w:t>
            </w:r>
          </w:p>
        </w:tc>
      </w:tr>
      <w:tr w:rsidR="006F46BF" w14:paraId="4B6B68F8" w14:textId="77777777">
        <w:trPr>
          <w:cantSplit/>
        </w:trPr>
        <w:tc>
          <w:tcPr>
            <w:tcW w:w="5490" w:type="dxa"/>
            <w:vAlign w:val="center"/>
          </w:tcPr>
          <w:p w14:paraId="2ACDAEDF" w14:textId="77777777" w:rsidR="006F46BF" w:rsidRDefault="00000000">
            <w:pPr>
              <w:spacing w:beforeAutospacing="1" w:afterAutospacing="1"/>
            </w:pPr>
            <w:r>
              <w:rPr>
                <w:rFonts w:ascii="Arial" w:hAnsi="Arial"/>
                <w:color w:val="25396E"/>
                <w:sz w:val="16"/>
              </w:rPr>
              <w:t>Outreach efforts to generate job applicants who are Other Funding Targeted Workers.</w:t>
            </w:r>
          </w:p>
        </w:tc>
        <w:tc>
          <w:tcPr>
            <w:tcW w:w="810" w:type="dxa"/>
            <w:vAlign w:val="center"/>
          </w:tcPr>
          <w:p w14:paraId="2FBA76BB" w14:textId="77777777" w:rsidR="006F46BF" w:rsidRDefault="00000000">
            <w:pPr>
              <w:spacing w:beforeAutospacing="1" w:afterAutospacing="1"/>
              <w:jc w:val="right"/>
            </w:pPr>
            <w:r>
              <w:rPr>
                <w:rFonts w:ascii="Arial" w:hAnsi="Arial"/>
                <w:color w:val="000000"/>
                <w:sz w:val="16"/>
              </w:rPr>
              <w:t>0</w:t>
            </w:r>
          </w:p>
        </w:tc>
        <w:tc>
          <w:tcPr>
            <w:tcW w:w="900" w:type="dxa"/>
            <w:vAlign w:val="center"/>
          </w:tcPr>
          <w:p w14:paraId="1F69B5FB" w14:textId="77777777" w:rsidR="006F46BF" w:rsidRDefault="00000000">
            <w:pPr>
              <w:spacing w:beforeAutospacing="1" w:afterAutospacing="1"/>
              <w:jc w:val="right"/>
            </w:pPr>
            <w:r>
              <w:rPr>
                <w:rFonts w:ascii="Arial" w:hAnsi="Arial"/>
                <w:color w:val="000000"/>
                <w:sz w:val="16"/>
              </w:rPr>
              <w:t>0</w:t>
            </w:r>
          </w:p>
        </w:tc>
        <w:tc>
          <w:tcPr>
            <w:tcW w:w="720" w:type="dxa"/>
            <w:vAlign w:val="center"/>
          </w:tcPr>
          <w:p w14:paraId="3577340D" w14:textId="77777777" w:rsidR="006F46BF" w:rsidRDefault="00000000">
            <w:pPr>
              <w:spacing w:beforeAutospacing="1" w:afterAutospacing="1"/>
              <w:jc w:val="right"/>
            </w:pPr>
            <w:r>
              <w:rPr>
                <w:rFonts w:ascii="Arial" w:hAnsi="Arial"/>
                <w:color w:val="000000"/>
                <w:sz w:val="16"/>
              </w:rPr>
              <w:t xml:space="preserve"> </w:t>
            </w:r>
          </w:p>
        </w:tc>
        <w:tc>
          <w:tcPr>
            <w:tcW w:w="990" w:type="dxa"/>
            <w:vAlign w:val="center"/>
          </w:tcPr>
          <w:p w14:paraId="3914B6B5" w14:textId="77777777" w:rsidR="006F46BF" w:rsidRDefault="00000000">
            <w:pPr>
              <w:spacing w:beforeAutospacing="1" w:afterAutospacing="1"/>
              <w:jc w:val="right"/>
            </w:pPr>
            <w:r>
              <w:rPr>
                <w:rFonts w:ascii="Arial" w:hAnsi="Arial"/>
                <w:color w:val="000000"/>
                <w:sz w:val="16"/>
              </w:rPr>
              <w:t xml:space="preserve"> </w:t>
            </w:r>
          </w:p>
        </w:tc>
        <w:tc>
          <w:tcPr>
            <w:tcW w:w="720" w:type="dxa"/>
            <w:vAlign w:val="center"/>
          </w:tcPr>
          <w:p w14:paraId="6AB20B61" w14:textId="77777777" w:rsidR="006F46BF" w:rsidRDefault="00000000">
            <w:pPr>
              <w:spacing w:beforeAutospacing="1" w:afterAutospacing="1"/>
              <w:jc w:val="right"/>
            </w:pPr>
            <w:r>
              <w:rPr>
                <w:rFonts w:ascii="Arial" w:hAnsi="Arial"/>
                <w:color w:val="000000"/>
                <w:sz w:val="16"/>
              </w:rPr>
              <w:t xml:space="preserve"> </w:t>
            </w:r>
          </w:p>
        </w:tc>
      </w:tr>
      <w:tr w:rsidR="006F46BF" w14:paraId="6B494136" w14:textId="77777777">
        <w:trPr>
          <w:cantSplit/>
        </w:trPr>
        <w:tc>
          <w:tcPr>
            <w:tcW w:w="5490" w:type="dxa"/>
            <w:vAlign w:val="center"/>
          </w:tcPr>
          <w:p w14:paraId="72A6DF09" w14:textId="77777777" w:rsidR="006F46BF" w:rsidRDefault="00000000">
            <w:pPr>
              <w:spacing w:beforeAutospacing="1" w:afterAutospacing="1"/>
            </w:pPr>
            <w:r>
              <w:rPr>
                <w:rFonts w:ascii="Arial" w:hAnsi="Arial"/>
                <w:color w:val="25396E"/>
                <w:sz w:val="16"/>
              </w:rPr>
              <w:t>Direct, on-the job training (including apprenticeships).</w:t>
            </w:r>
          </w:p>
        </w:tc>
        <w:tc>
          <w:tcPr>
            <w:tcW w:w="810" w:type="dxa"/>
            <w:vAlign w:val="center"/>
          </w:tcPr>
          <w:p w14:paraId="06C76086" w14:textId="77777777" w:rsidR="006F46BF" w:rsidRDefault="00000000">
            <w:pPr>
              <w:spacing w:beforeAutospacing="1" w:afterAutospacing="1"/>
              <w:jc w:val="right"/>
            </w:pPr>
            <w:r>
              <w:rPr>
                <w:rFonts w:ascii="Arial" w:hAnsi="Arial"/>
                <w:color w:val="000000"/>
                <w:sz w:val="16"/>
              </w:rPr>
              <w:t>0</w:t>
            </w:r>
          </w:p>
        </w:tc>
        <w:tc>
          <w:tcPr>
            <w:tcW w:w="900" w:type="dxa"/>
            <w:vAlign w:val="center"/>
          </w:tcPr>
          <w:p w14:paraId="29CE98B9" w14:textId="77777777" w:rsidR="006F46BF" w:rsidRDefault="00000000">
            <w:pPr>
              <w:spacing w:beforeAutospacing="1" w:afterAutospacing="1"/>
              <w:jc w:val="right"/>
            </w:pPr>
            <w:r>
              <w:rPr>
                <w:rFonts w:ascii="Arial" w:hAnsi="Arial"/>
                <w:color w:val="000000"/>
                <w:sz w:val="16"/>
              </w:rPr>
              <w:t>0</w:t>
            </w:r>
          </w:p>
        </w:tc>
        <w:tc>
          <w:tcPr>
            <w:tcW w:w="720" w:type="dxa"/>
            <w:vAlign w:val="center"/>
          </w:tcPr>
          <w:p w14:paraId="75C5B2D7" w14:textId="77777777" w:rsidR="006F46BF" w:rsidRDefault="00000000">
            <w:pPr>
              <w:spacing w:beforeAutospacing="1" w:afterAutospacing="1"/>
              <w:jc w:val="right"/>
            </w:pPr>
            <w:r>
              <w:rPr>
                <w:rFonts w:ascii="Arial" w:hAnsi="Arial"/>
                <w:color w:val="000000"/>
                <w:sz w:val="16"/>
              </w:rPr>
              <w:t xml:space="preserve"> </w:t>
            </w:r>
          </w:p>
        </w:tc>
        <w:tc>
          <w:tcPr>
            <w:tcW w:w="990" w:type="dxa"/>
            <w:vAlign w:val="center"/>
          </w:tcPr>
          <w:p w14:paraId="3C6AE6CE" w14:textId="77777777" w:rsidR="006F46BF" w:rsidRDefault="00000000">
            <w:pPr>
              <w:spacing w:beforeAutospacing="1" w:afterAutospacing="1"/>
              <w:jc w:val="right"/>
            </w:pPr>
            <w:r>
              <w:rPr>
                <w:rFonts w:ascii="Arial" w:hAnsi="Arial"/>
                <w:color w:val="000000"/>
                <w:sz w:val="16"/>
              </w:rPr>
              <w:t xml:space="preserve"> </w:t>
            </w:r>
          </w:p>
        </w:tc>
        <w:tc>
          <w:tcPr>
            <w:tcW w:w="720" w:type="dxa"/>
            <w:vAlign w:val="center"/>
          </w:tcPr>
          <w:p w14:paraId="6C253AAF" w14:textId="77777777" w:rsidR="006F46BF" w:rsidRDefault="00000000">
            <w:pPr>
              <w:spacing w:beforeAutospacing="1" w:afterAutospacing="1"/>
              <w:jc w:val="right"/>
            </w:pPr>
            <w:r>
              <w:rPr>
                <w:rFonts w:ascii="Arial" w:hAnsi="Arial"/>
                <w:color w:val="000000"/>
                <w:sz w:val="16"/>
              </w:rPr>
              <w:t xml:space="preserve"> </w:t>
            </w:r>
          </w:p>
        </w:tc>
      </w:tr>
      <w:tr w:rsidR="006F46BF" w14:paraId="75642A27" w14:textId="77777777">
        <w:trPr>
          <w:cantSplit/>
        </w:trPr>
        <w:tc>
          <w:tcPr>
            <w:tcW w:w="5490" w:type="dxa"/>
            <w:vAlign w:val="center"/>
          </w:tcPr>
          <w:p w14:paraId="74579559" w14:textId="77777777" w:rsidR="006F46BF" w:rsidRDefault="00000000">
            <w:pPr>
              <w:spacing w:beforeAutospacing="1" w:afterAutospacing="1"/>
            </w:pPr>
            <w:r>
              <w:rPr>
                <w:rFonts w:ascii="Arial" w:hAnsi="Arial"/>
                <w:color w:val="25396E"/>
                <w:sz w:val="16"/>
              </w:rPr>
              <w:t>Indirect training such as arranging for, contracting for, or paying tuition for, off-site training.</w:t>
            </w:r>
          </w:p>
        </w:tc>
        <w:tc>
          <w:tcPr>
            <w:tcW w:w="810" w:type="dxa"/>
            <w:vAlign w:val="center"/>
          </w:tcPr>
          <w:p w14:paraId="5F09645A" w14:textId="77777777" w:rsidR="006F46BF" w:rsidRDefault="00000000">
            <w:pPr>
              <w:spacing w:beforeAutospacing="1" w:afterAutospacing="1"/>
              <w:jc w:val="right"/>
            </w:pPr>
            <w:r>
              <w:rPr>
                <w:rFonts w:ascii="Arial" w:hAnsi="Arial"/>
                <w:color w:val="000000"/>
                <w:sz w:val="16"/>
              </w:rPr>
              <w:t>0</w:t>
            </w:r>
          </w:p>
        </w:tc>
        <w:tc>
          <w:tcPr>
            <w:tcW w:w="900" w:type="dxa"/>
            <w:vAlign w:val="center"/>
          </w:tcPr>
          <w:p w14:paraId="065BB5A1" w14:textId="77777777" w:rsidR="006F46BF" w:rsidRDefault="00000000">
            <w:pPr>
              <w:spacing w:beforeAutospacing="1" w:afterAutospacing="1"/>
              <w:jc w:val="right"/>
            </w:pPr>
            <w:r>
              <w:rPr>
                <w:rFonts w:ascii="Arial" w:hAnsi="Arial"/>
                <w:color w:val="000000"/>
                <w:sz w:val="16"/>
              </w:rPr>
              <w:t>0</w:t>
            </w:r>
          </w:p>
        </w:tc>
        <w:tc>
          <w:tcPr>
            <w:tcW w:w="720" w:type="dxa"/>
            <w:vAlign w:val="center"/>
          </w:tcPr>
          <w:p w14:paraId="0753884E" w14:textId="77777777" w:rsidR="006F46BF" w:rsidRDefault="00000000">
            <w:pPr>
              <w:spacing w:beforeAutospacing="1" w:afterAutospacing="1"/>
              <w:jc w:val="right"/>
            </w:pPr>
            <w:r>
              <w:rPr>
                <w:rFonts w:ascii="Arial" w:hAnsi="Arial"/>
                <w:color w:val="000000"/>
                <w:sz w:val="16"/>
              </w:rPr>
              <w:t xml:space="preserve"> </w:t>
            </w:r>
          </w:p>
        </w:tc>
        <w:tc>
          <w:tcPr>
            <w:tcW w:w="990" w:type="dxa"/>
            <w:vAlign w:val="center"/>
          </w:tcPr>
          <w:p w14:paraId="2AA0CF43" w14:textId="77777777" w:rsidR="006F46BF" w:rsidRDefault="00000000">
            <w:pPr>
              <w:spacing w:beforeAutospacing="1" w:afterAutospacing="1"/>
              <w:jc w:val="right"/>
            </w:pPr>
            <w:r>
              <w:rPr>
                <w:rFonts w:ascii="Arial" w:hAnsi="Arial"/>
                <w:color w:val="000000"/>
                <w:sz w:val="16"/>
              </w:rPr>
              <w:t xml:space="preserve"> </w:t>
            </w:r>
          </w:p>
        </w:tc>
        <w:tc>
          <w:tcPr>
            <w:tcW w:w="720" w:type="dxa"/>
            <w:vAlign w:val="center"/>
          </w:tcPr>
          <w:p w14:paraId="763BF648" w14:textId="77777777" w:rsidR="006F46BF" w:rsidRDefault="00000000">
            <w:pPr>
              <w:spacing w:beforeAutospacing="1" w:afterAutospacing="1"/>
              <w:jc w:val="right"/>
            </w:pPr>
            <w:r>
              <w:rPr>
                <w:rFonts w:ascii="Arial" w:hAnsi="Arial"/>
                <w:color w:val="000000"/>
                <w:sz w:val="16"/>
              </w:rPr>
              <w:t xml:space="preserve"> </w:t>
            </w:r>
          </w:p>
        </w:tc>
      </w:tr>
      <w:tr w:rsidR="006F46BF" w14:paraId="1A8F1A2C" w14:textId="77777777">
        <w:trPr>
          <w:cantSplit/>
        </w:trPr>
        <w:tc>
          <w:tcPr>
            <w:tcW w:w="5490" w:type="dxa"/>
            <w:vAlign w:val="center"/>
          </w:tcPr>
          <w:p w14:paraId="1EB22011" w14:textId="77777777" w:rsidR="006F46BF" w:rsidRDefault="00000000">
            <w:pPr>
              <w:spacing w:beforeAutospacing="1" w:afterAutospacing="1"/>
            </w:pPr>
            <w:r>
              <w:rPr>
                <w:rFonts w:ascii="Arial" w:hAnsi="Arial"/>
                <w:color w:val="25396E"/>
                <w:sz w:val="16"/>
              </w:rPr>
              <w:t>Technical assistance to help Section 3 workers compete for jobs (e.g., resume assistance, coaching).</w:t>
            </w:r>
          </w:p>
        </w:tc>
        <w:tc>
          <w:tcPr>
            <w:tcW w:w="810" w:type="dxa"/>
            <w:vAlign w:val="center"/>
          </w:tcPr>
          <w:p w14:paraId="3284F66E" w14:textId="77777777" w:rsidR="006F46BF" w:rsidRDefault="00000000">
            <w:pPr>
              <w:spacing w:beforeAutospacing="1" w:afterAutospacing="1"/>
              <w:jc w:val="right"/>
            </w:pPr>
            <w:r>
              <w:rPr>
                <w:rFonts w:ascii="Arial" w:hAnsi="Arial"/>
                <w:color w:val="000000"/>
                <w:sz w:val="16"/>
              </w:rPr>
              <w:t>0</w:t>
            </w:r>
          </w:p>
        </w:tc>
        <w:tc>
          <w:tcPr>
            <w:tcW w:w="900" w:type="dxa"/>
            <w:vAlign w:val="center"/>
          </w:tcPr>
          <w:p w14:paraId="31EEB407" w14:textId="77777777" w:rsidR="006F46BF" w:rsidRDefault="00000000">
            <w:pPr>
              <w:spacing w:beforeAutospacing="1" w:afterAutospacing="1"/>
              <w:jc w:val="right"/>
            </w:pPr>
            <w:r>
              <w:rPr>
                <w:rFonts w:ascii="Arial" w:hAnsi="Arial"/>
                <w:color w:val="000000"/>
                <w:sz w:val="16"/>
              </w:rPr>
              <w:t>0</w:t>
            </w:r>
          </w:p>
        </w:tc>
        <w:tc>
          <w:tcPr>
            <w:tcW w:w="720" w:type="dxa"/>
            <w:vAlign w:val="center"/>
          </w:tcPr>
          <w:p w14:paraId="2D7D30C2" w14:textId="77777777" w:rsidR="006F46BF" w:rsidRDefault="00000000">
            <w:pPr>
              <w:spacing w:beforeAutospacing="1" w:afterAutospacing="1"/>
              <w:jc w:val="right"/>
            </w:pPr>
            <w:r>
              <w:rPr>
                <w:rFonts w:ascii="Arial" w:hAnsi="Arial"/>
                <w:color w:val="000000"/>
                <w:sz w:val="16"/>
              </w:rPr>
              <w:t xml:space="preserve"> </w:t>
            </w:r>
          </w:p>
        </w:tc>
        <w:tc>
          <w:tcPr>
            <w:tcW w:w="990" w:type="dxa"/>
            <w:vAlign w:val="center"/>
          </w:tcPr>
          <w:p w14:paraId="36C44F81" w14:textId="77777777" w:rsidR="006F46BF" w:rsidRDefault="00000000">
            <w:pPr>
              <w:spacing w:beforeAutospacing="1" w:afterAutospacing="1"/>
              <w:jc w:val="right"/>
            </w:pPr>
            <w:r>
              <w:rPr>
                <w:rFonts w:ascii="Arial" w:hAnsi="Arial"/>
                <w:color w:val="000000"/>
                <w:sz w:val="16"/>
              </w:rPr>
              <w:t xml:space="preserve"> </w:t>
            </w:r>
          </w:p>
        </w:tc>
        <w:tc>
          <w:tcPr>
            <w:tcW w:w="720" w:type="dxa"/>
            <w:vAlign w:val="center"/>
          </w:tcPr>
          <w:p w14:paraId="242AD737" w14:textId="77777777" w:rsidR="006F46BF" w:rsidRDefault="00000000">
            <w:pPr>
              <w:spacing w:beforeAutospacing="1" w:afterAutospacing="1"/>
              <w:jc w:val="right"/>
            </w:pPr>
            <w:r>
              <w:rPr>
                <w:rFonts w:ascii="Arial" w:hAnsi="Arial"/>
                <w:color w:val="000000"/>
                <w:sz w:val="16"/>
              </w:rPr>
              <w:t xml:space="preserve"> </w:t>
            </w:r>
          </w:p>
        </w:tc>
      </w:tr>
      <w:tr w:rsidR="006F46BF" w14:paraId="4C38EAEE" w14:textId="77777777">
        <w:trPr>
          <w:cantSplit/>
        </w:trPr>
        <w:tc>
          <w:tcPr>
            <w:tcW w:w="5490" w:type="dxa"/>
            <w:vAlign w:val="center"/>
          </w:tcPr>
          <w:p w14:paraId="7EEBBE81" w14:textId="77777777" w:rsidR="006F46BF" w:rsidRDefault="00000000">
            <w:pPr>
              <w:spacing w:beforeAutospacing="1" w:afterAutospacing="1"/>
            </w:pPr>
            <w:r>
              <w:rPr>
                <w:rFonts w:ascii="Arial" w:hAnsi="Arial"/>
                <w:color w:val="25396E"/>
                <w:sz w:val="16"/>
              </w:rPr>
              <w:t>Outreach efforts to identify and secure bids from Section 3 business concerns.</w:t>
            </w:r>
          </w:p>
        </w:tc>
        <w:tc>
          <w:tcPr>
            <w:tcW w:w="810" w:type="dxa"/>
            <w:vAlign w:val="center"/>
          </w:tcPr>
          <w:p w14:paraId="34F867BB" w14:textId="77777777" w:rsidR="006F46BF" w:rsidRDefault="00000000">
            <w:pPr>
              <w:spacing w:beforeAutospacing="1" w:afterAutospacing="1"/>
              <w:jc w:val="right"/>
            </w:pPr>
            <w:r>
              <w:rPr>
                <w:rFonts w:ascii="Arial" w:hAnsi="Arial"/>
                <w:color w:val="000000"/>
                <w:sz w:val="16"/>
              </w:rPr>
              <w:t>0</w:t>
            </w:r>
          </w:p>
        </w:tc>
        <w:tc>
          <w:tcPr>
            <w:tcW w:w="900" w:type="dxa"/>
            <w:vAlign w:val="center"/>
          </w:tcPr>
          <w:p w14:paraId="38B036FE" w14:textId="77777777" w:rsidR="006F46BF" w:rsidRDefault="00000000">
            <w:pPr>
              <w:spacing w:beforeAutospacing="1" w:afterAutospacing="1"/>
              <w:jc w:val="right"/>
            </w:pPr>
            <w:r>
              <w:rPr>
                <w:rFonts w:ascii="Arial" w:hAnsi="Arial"/>
                <w:color w:val="000000"/>
                <w:sz w:val="16"/>
              </w:rPr>
              <w:t>0</w:t>
            </w:r>
          </w:p>
        </w:tc>
        <w:tc>
          <w:tcPr>
            <w:tcW w:w="720" w:type="dxa"/>
            <w:vAlign w:val="center"/>
          </w:tcPr>
          <w:p w14:paraId="5B3A81BE" w14:textId="77777777" w:rsidR="006F46BF" w:rsidRDefault="00000000">
            <w:pPr>
              <w:spacing w:beforeAutospacing="1" w:afterAutospacing="1"/>
              <w:jc w:val="right"/>
            </w:pPr>
            <w:r>
              <w:rPr>
                <w:rFonts w:ascii="Arial" w:hAnsi="Arial"/>
                <w:color w:val="000000"/>
                <w:sz w:val="16"/>
              </w:rPr>
              <w:t xml:space="preserve"> </w:t>
            </w:r>
          </w:p>
        </w:tc>
        <w:tc>
          <w:tcPr>
            <w:tcW w:w="990" w:type="dxa"/>
            <w:vAlign w:val="center"/>
          </w:tcPr>
          <w:p w14:paraId="6E903D32" w14:textId="77777777" w:rsidR="006F46BF" w:rsidRDefault="00000000">
            <w:pPr>
              <w:spacing w:beforeAutospacing="1" w:afterAutospacing="1"/>
              <w:jc w:val="right"/>
            </w:pPr>
            <w:r>
              <w:rPr>
                <w:rFonts w:ascii="Arial" w:hAnsi="Arial"/>
                <w:color w:val="000000"/>
                <w:sz w:val="16"/>
              </w:rPr>
              <w:t xml:space="preserve"> </w:t>
            </w:r>
          </w:p>
        </w:tc>
        <w:tc>
          <w:tcPr>
            <w:tcW w:w="720" w:type="dxa"/>
            <w:vAlign w:val="center"/>
          </w:tcPr>
          <w:p w14:paraId="2E88ABF0" w14:textId="77777777" w:rsidR="006F46BF" w:rsidRDefault="00000000">
            <w:pPr>
              <w:spacing w:beforeAutospacing="1" w:afterAutospacing="1"/>
              <w:jc w:val="right"/>
            </w:pPr>
            <w:r>
              <w:rPr>
                <w:rFonts w:ascii="Arial" w:hAnsi="Arial"/>
                <w:color w:val="000000"/>
                <w:sz w:val="16"/>
              </w:rPr>
              <w:t xml:space="preserve"> </w:t>
            </w:r>
          </w:p>
        </w:tc>
      </w:tr>
      <w:tr w:rsidR="006F46BF" w14:paraId="5F041848" w14:textId="77777777">
        <w:trPr>
          <w:cantSplit/>
        </w:trPr>
        <w:tc>
          <w:tcPr>
            <w:tcW w:w="5490" w:type="dxa"/>
            <w:vAlign w:val="center"/>
          </w:tcPr>
          <w:p w14:paraId="3E999702" w14:textId="77777777" w:rsidR="006F46BF" w:rsidRDefault="00000000">
            <w:pPr>
              <w:spacing w:beforeAutospacing="1" w:afterAutospacing="1"/>
            </w:pPr>
            <w:r>
              <w:rPr>
                <w:rFonts w:ascii="Arial" w:hAnsi="Arial"/>
                <w:color w:val="25396E"/>
                <w:sz w:val="16"/>
              </w:rPr>
              <w:t>Technical assistance to help Section 3 business concerns understand and bid on contracts.</w:t>
            </w:r>
          </w:p>
        </w:tc>
        <w:tc>
          <w:tcPr>
            <w:tcW w:w="810" w:type="dxa"/>
            <w:vAlign w:val="center"/>
          </w:tcPr>
          <w:p w14:paraId="25430CCF" w14:textId="77777777" w:rsidR="006F46BF" w:rsidRDefault="00000000">
            <w:pPr>
              <w:spacing w:beforeAutospacing="1" w:afterAutospacing="1"/>
              <w:jc w:val="right"/>
            </w:pPr>
            <w:r>
              <w:rPr>
                <w:rFonts w:ascii="Arial" w:hAnsi="Arial"/>
                <w:color w:val="000000"/>
                <w:sz w:val="16"/>
              </w:rPr>
              <w:t>3</w:t>
            </w:r>
          </w:p>
        </w:tc>
        <w:tc>
          <w:tcPr>
            <w:tcW w:w="900" w:type="dxa"/>
            <w:vAlign w:val="center"/>
          </w:tcPr>
          <w:p w14:paraId="184F15F4" w14:textId="77777777" w:rsidR="006F46BF" w:rsidRDefault="00000000">
            <w:pPr>
              <w:spacing w:beforeAutospacing="1" w:afterAutospacing="1"/>
              <w:jc w:val="right"/>
            </w:pPr>
            <w:r>
              <w:rPr>
                <w:rFonts w:ascii="Arial" w:hAnsi="Arial"/>
                <w:color w:val="000000"/>
                <w:sz w:val="16"/>
              </w:rPr>
              <w:t>1</w:t>
            </w:r>
          </w:p>
        </w:tc>
        <w:tc>
          <w:tcPr>
            <w:tcW w:w="720" w:type="dxa"/>
            <w:vAlign w:val="center"/>
          </w:tcPr>
          <w:p w14:paraId="2D09E053" w14:textId="77777777" w:rsidR="006F46BF" w:rsidRDefault="00000000">
            <w:pPr>
              <w:spacing w:beforeAutospacing="1" w:afterAutospacing="1"/>
              <w:jc w:val="right"/>
            </w:pPr>
            <w:r>
              <w:rPr>
                <w:rFonts w:ascii="Arial" w:hAnsi="Arial"/>
                <w:color w:val="000000"/>
                <w:sz w:val="16"/>
              </w:rPr>
              <w:t xml:space="preserve"> </w:t>
            </w:r>
          </w:p>
        </w:tc>
        <w:tc>
          <w:tcPr>
            <w:tcW w:w="990" w:type="dxa"/>
            <w:vAlign w:val="center"/>
          </w:tcPr>
          <w:p w14:paraId="6EEF89D8" w14:textId="77777777" w:rsidR="006F46BF" w:rsidRDefault="00000000">
            <w:pPr>
              <w:spacing w:beforeAutospacing="1" w:afterAutospacing="1"/>
              <w:jc w:val="right"/>
            </w:pPr>
            <w:r>
              <w:rPr>
                <w:rFonts w:ascii="Arial" w:hAnsi="Arial"/>
                <w:color w:val="000000"/>
                <w:sz w:val="16"/>
              </w:rPr>
              <w:t xml:space="preserve"> </w:t>
            </w:r>
          </w:p>
        </w:tc>
        <w:tc>
          <w:tcPr>
            <w:tcW w:w="720" w:type="dxa"/>
            <w:vAlign w:val="center"/>
          </w:tcPr>
          <w:p w14:paraId="76881E6C" w14:textId="77777777" w:rsidR="006F46BF" w:rsidRDefault="00000000">
            <w:pPr>
              <w:spacing w:beforeAutospacing="1" w:afterAutospacing="1"/>
              <w:jc w:val="right"/>
            </w:pPr>
            <w:r>
              <w:rPr>
                <w:rFonts w:ascii="Arial" w:hAnsi="Arial"/>
                <w:color w:val="000000"/>
                <w:sz w:val="16"/>
              </w:rPr>
              <w:t xml:space="preserve"> </w:t>
            </w:r>
          </w:p>
        </w:tc>
      </w:tr>
      <w:tr w:rsidR="006F46BF" w14:paraId="1761341A" w14:textId="77777777">
        <w:trPr>
          <w:cantSplit/>
        </w:trPr>
        <w:tc>
          <w:tcPr>
            <w:tcW w:w="5490" w:type="dxa"/>
            <w:vAlign w:val="center"/>
          </w:tcPr>
          <w:p w14:paraId="3B247685" w14:textId="77777777" w:rsidR="006F46BF" w:rsidRDefault="00000000">
            <w:pPr>
              <w:spacing w:beforeAutospacing="1" w:afterAutospacing="1"/>
            </w:pPr>
            <w:r>
              <w:rPr>
                <w:rFonts w:ascii="Arial" w:hAnsi="Arial"/>
                <w:color w:val="25396E"/>
                <w:sz w:val="16"/>
              </w:rPr>
              <w:t>Division of contracts into smaller jobs to facilitate participation by Section 3 business concerns.</w:t>
            </w:r>
          </w:p>
        </w:tc>
        <w:tc>
          <w:tcPr>
            <w:tcW w:w="810" w:type="dxa"/>
            <w:vAlign w:val="center"/>
          </w:tcPr>
          <w:p w14:paraId="00E3A988" w14:textId="77777777" w:rsidR="006F46BF" w:rsidRDefault="00000000">
            <w:pPr>
              <w:spacing w:beforeAutospacing="1" w:afterAutospacing="1"/>
              <w:jc w:val="right"/>
            </w:pPr>
            <w:r>
              <w:rPr>
                <w:rFonts w:ascii="Arial" w:hAnsi="Arial"/>
                <w:color w:val="000000"/>
                <w:sz w:val="16"/>
              </w:rPr>
              <w:t>0</w:t>
            </w:r>
          </w:p>
        </w:tc>
        <w:tc>
          <w:tcPr>
            <w:tcW w:w="900" w:type="dxa"/>
            <w:vAlign w:val="center"/>
          </w:tcPr>
          <w:p w14:paraId="38EB7862" w14:textId="77777777" w:rsidR="006F46BF" w:rsidRDefault="00000000">
            <w:pPr>
              <w:spacing w:beforeAutospacing="1" w:afterAutospacing="1"/>
              <w:jc w:val="right"/>
            </w:pPr>
            <w:r>
              <w:rPr>
                <w:rFonts w:ascii="Arial" w:hAnsi="Arial"/>
                <w:color w:val="000000"/>
                <w:sz w:val="16"/>
              </w:rPr>
              <w:t>0</w:t>
            </w:r>
          </w:p>
        </w:tc>
        <w:tc>
          <w:tcPr>
            <w:tcW w:w="720" w:type="dxa"/>
            <w:vAlign w:val="center"/>
          </w:tcPr>
          <w:p w14:paraId="3C76275D" w14:textId="77777777" w:rsidR="006F46BF" w:rsidRDefault="00000000">
            <w:pPr>
              <w:spacing w:beforeAutospacing="1" w:afterAutospacing="1"/>
              <w:jc w:val="right"/>
            </w:pPr>
            <w:r>
              <w:rPr>
                <w:rFonts w:ascii="Arial" w:hAnsi="Arial"/>
                <w:color w:val="000000"/>
                <w:sz w:val="16"/>
              </w:rPr>
              <w:t xml:space="preserve"> </w:t>
            </w:r>
          </w:p>
        </w:tc>
        <w:tc>
          <w:tcPr>
            <w:tcW w:w="990" w:type="dxa"/>
            <w:vAlign w:val="center"/>
          </w:tcPr>
          <w:p w14:paraId="1BD0DEF9" w14:textId="77777777" w:rsidR="006F46BF" w:rsidRDefault="00000000">
            <w:pPr>
              <w:spacing w:beforeAutospacing="1" w:afterAutospacing="1"/>
              <w:jc w:val="right"/>
            </w:pPr>
            <w:r>
              <w:rPr>
                <w:rFonts w:ascii="Arial" w:hAnsi="Arial"/>
                <w:color w:val="000000"/>
                <w:sz w:val="16"/>
              </w:rPr>
              <w:t xml:space="preserve"> </w:t>
            </w:r>
          </w:p>
        </w:tc>
        <w:tc>
          <w:tcPr>
            <w:tcW w:w="720" w:type="dxa"/>
            <w:vAlign w:val="center"/>
          </w:tcPr>
          <w:p w14:paraId="3706B52C" w14:textId="77777777" w:rsidR="006F46BF" w:rsidRDefault="00000000">
            <w:pPr>
              <w:spacing w:beforeAutospacing="1" w:afterAutospacing="1"/>
              <w:jc w:val="right"/>
            </w:pPr>
            <w:r>
              <w:rPr>
                <w:rFonts w:ascii="Arial" w:hAnsi="Arial"/>
                <w:color w:val="000000"/>
                <w:sz w:val="16"/>
              </w:rPr>
              <w:t xml:space="preserve"> </w:t>
            </w:r>
          </w:p>
        </w:tc>
      </w:tr>
      <w:tr w:rsidR="006F46BF" w14:paraId="7422F168" w14:textId="77777777">
        <w:trPr>
          <w:cantSplit/>
        </w:trPr>
        <w:tc>
          <w:tcPr>
            <w:tcW w:w="5490" w:type="dxa"/>
            <w:vAlign w:val="center"/>
          </w:tcPr>
          <w:p w14:paraId="07187821" w14:textId="77777777" w:rsidR="006F46BF" w:rsidRDefault="00000000">
            <w:pPr>
              <w:spacing w:beforeAutospacing="1" w:afterAutospacing="1"/>
            </w:pPr>
            <w:r>
              <w:rPr>
                <w:rFonts w:ascii="Arial" w:hAnsi="Arial"/>
                <w:color w:val="25396E"/>
                <w:sz w:val="16"/>
              </w:rPr>
              <w:t xml:space="preserve">Provided or connected residents with assistance in seeking employment including: drafting </w:t>
            </w:r>
            <w:proofErr w:type="spellStart"/>
            <w:proofErr w:type="gramStart"/>
            <w:r>
              <w:rPr>
                <w:rFonts w:ascii="Arial" w:hAnsi="Arial"/>
                <w:color w:val="25396E"/>
                <w:sz w:val="16"/>
              </w:rPr>
              <w:t>resumes,preparing</w:t>
            </w:r>
            <w:proofErr w:type="spellEnd"/>
            <w:proofErr w:type="gramEnd"/>
            <w:r>
              <w:rPr>
                <w:rFonts w:ascii="Arial" w:hAnsi="Arial"/>
                <w:color w:val="25396E"/>
                <w:sz w:val="16"/>
              </w:rPr>
              <w:t xml:space="preserve"> for interviews, finding job opportunities, connecting residents to job placement services.</w:t>
            </w:r>
          </w:p>
        </w:tc>
        <w:tc>
          <w:tcPr>
            <w:tcW w:w="810" w:type="dxa"/>
            <w:vAlign w:val="center"/>
          </w:tcPr>
          <w:p w14:paraId="50C543AF" w14:textId="77777777" w:rsidR="006F46BF" w:rsidRDefault="00000000">
            <w:pPr>
              <w:spacing w:beforeAutospacing="1" w:afterAutospacing="1"/>
              <w:jc w:val="right"/>
            </w:pPr>
            <w:r>
              <w:rPr>
                <w:rFonts w:ascii="Arial" w:hAnsi="Arial"/>
                <w:color w:val="000000"/>
                <w:sz w:val="16"/>
              </w:rPr>
              <w:t>1</w:t>
            </w:r>
          </w:p>
        </w:tc>
        <w:tc>
          <w:tcPr>
            <w:tcW w:w="900" w:type="dxa"/>
            <w:vAlign w:val="center"/>
          </w:tcPr>
          <w:p w14:paraId="3AC2652B" w14:textId="77777777" w:rsidR="006F46BF" w:rsidRDefault="00000000">
            <w:pPr>
              <w:spacing w:beforeAutospacing="1" w:afterAutospacing="1"/>
              <w:jc w:val="right"/>
            </w:pPr>
            <w:r>
              <w:rPr>
                <w:rFonts w:ascii="Arial" w:hAnsi="Arial"/>
                <w:color w:val="000000"/>
                <w:sz w:val="16"/>
              </w:rPr>
              <w:t>0</w:t>
            </w:r>
          </w:p>
        </w:tc>
        <w:tc>
          <w:tcPr>
            <w:tcW w:w="720" w:type="dxa"/>
            <w:vAlign w:val="center"/>
          </w:tcPr>
          <w:p w14:paraId="4EAFFF3B" w14:textId="77777777" w:rsidR="006F46BF" w:rsidRDefault="00000000">
            <w:pPr>
              <w:spacing w:beforeAutospacing="1" w:afterAutospacing="1"/>
              <w:jc w:val="right"/>
            </w:pPr>
            <w:r>
              <w:rPr>
                <w:rFonts w:ascii="Arial" w:hAnsi="Arial"/>
                <w:color w:val="000000"/>
                <w:sz w:val="16"/>
              </w:rPr>
              <w:t xml:space="preserve"> </w:t>
            </w:r>
          </w:p>
        </w:tc>
        <w:tc>
          <w:tcPr>
            <w:tcW w:w="990" w:type="dxa"/>
            <w:vAlign w:val="center"/>
          </w:tcPr>
          <w:p w14:paraId="50DF67C1" w14:textId="77777777" w:rsidR="006F46BF" w:rsidRDefault="00000000">
            <w:pPr>
              <w:spacing w:beforeAutospacing="1" w:afterAutospacing="1"/>
              <w:jc w:val="right"/>
            </w:pPr>
            <w:r>
              <w:rPr>
                <w:rFonts w:ascii="Arial" w:hAnsi="Arial"/>
                <w:color w:val="000000"/>
                <w:sz w:val="16"/>
              </w:rPr>
              <w:t xml:space="preserve"> </w:t>
            </w:r>
          </w:p>
        </w:tc>
        <w:tc>
          <w:tcPr>
            <w:tcW w:w="720" w:type="dxa"/>
            <w:vAlign w:val="center"/>
          </w:tcPr>
          <w:p w14:paraId="259C317B" w14:textId="77777777" w:rsidR="006F46BF" w:rsidRDefault="00000000">
            <w:pPr>
              <w:spacing w:beforeAutospacing="1" w:afterAutospacing="1"/>
              <w:jc w:val="right"/>
            </w:pPr>
            <w:r>
              <w:rPr>
                <w:rFonts w:ascii="Arial" w:hAnsi="Arial"/>
                <w:color w:val="000000"/>
                <w:sz w:val="16"/>
              </w:rPr>
              <w:t xml:space="preserve"> </w:t>
            </w:r>
          </w:p>
        </w:tc>
      </w:tr>
      <w:tr w:rsidR="006F46BF" w14:paraId="23DEDE09" w14:textId="77777777">
        <w:trPr>
          <w:cantSplit/>
        </w:trPr>
        <w:tc>
          <w:tcPr>
            <w:tcW w:w="5490" w:type="dxa"/>
            <w:vAlign w:val="center"/>
          </w:tcPr>
          <w:p w14:paraId="7B9405AF" w14:textId="77777777" w:rsidR="006F46BF" w:rsidRDefault="00000000">
            <w:pPr>
              <w:spacing w:beforeAutospacing="1" w:afterAutospacing="1"/>
            </w:pPr>
            <w:r>
              <w:rPr>
                <w:rFonts w:ascii="Arial" w:hAnsi="Arial"/>
                <w:color w:val="25396E"/>
                <w:sz w:val="16"/>
              </w:rPr>
              <w:t>Held one or more job fairs.</w:t>
            </w:r>
          </w:p>
        </w:tc>
        <w:tc>
          <w:tcPr>
            <w:tcW w:w="810" w:type="dxa"/>
            <w:vAlign w:val="center"/>
          </w:tcPr>
          <w:p w14:paraId="78AB01C8" w14:textId="77777777" w:rsidR="006F46BF" w:rsidRDefault="00000000">
            <w:pPr>
              <w:spacing w:beforeAutospacing="1" w:afterAutospacing="1"/>
              <w:jc w:val="right"/>
            </w:pPr>
            <w:r>
              <w:rPr>
                <w:rFonts w:ascii="Arial" w:hAnsi="Arial"/>
                <w:color w:val="000000"/>
                <w:sz w:val="16"/>
              </w:rPr>
              <w:t>0</w:t>
            </w:r>
          </w:p>
        </w:tc>
        <w:tc>
          <w:tcPr>
            <w:tcW w:w="900" w:type="dxa"/>
            <w:vAlign w:val="center"/>
          </w:tcPr>
          <w:p w14:paraId="5370558F" w14:textId="77777777" w:rsidR="006F46BF" w:rsidRDefault="00000000">
            <w:pPr>
              <w:spacing w:beforeAutospacing="1" w:afterAutospacing="1"/>
              <w:jc w:val="right"/>
            </w:pPr>
            <w:r>
              <w:rPr>
                <w:rFonts w:ascii="Arial" w:hAnsi="Arial"/>
                <w:color w:val="000000"/>
                <w:sz w:val="16"/>
              </w:rPr>
              <w:t>0</w:t>
            </w:r>
          </w:p>
        </w:tc>
        <w:tc>
          <w:tcPr>
            <w:tcW w:w="720" w:type="dxa"/>
            <w:vAlign w:val="center"/>
          </w:tcPr>
          <w:p w14:paraId="178F2B30" w14:textId="77777777" w:rsidR="006F46BF" w:rsidRDefault="00000000">
            <w:pPr>
              <w:spacing w:beforeAutospacing="1" w:afterAutospacing="1"/>
              <w:jc w:val="right"/>
            </w:pPr>
            <w:r>
              <w:rPr>
                <w:rFonts w:ascii="Arial" w:hAnsi="Arial"/>
                <w:color w:val="000000"/>
                <w:sz w:val="16"/>
              </w:rPr>
              <w:t xml:space="preserve"> </w:t>
            </w:r>
          </w:p>
        </w:tc>
        <w:tc>
          <w:tcPr>
            <w:tcW w:w="990" w:type="dxa"/>
            <w:vAlign w:val="center"/>
          </w:tcPr>
          <w:p w14:paraId="6A789AEA" w14:textId="77777777" w:rsidR="006F46BF" w:rsidRDefault="00000000">
            <w:pPr>
              <w:spacing w:beforeAutospacing="1" w:afterAutospacing="1"/>
              <w:jc w:val="right"/>
            </w:pPr>
            <w:r>
              <w:rPr>
                <w:rFonts w:ascii="Arial" w:hAnsi="Arial"/>
                <w:color w:val="000000"/>
                <w:sz w:val="16"/>
              </w:rPr>
              <w:t xml:space="preserve"> </w:t>
            </w:r>
          </w:p>
        </w:tc>
        <w:tc>
          <w:tcPr>
            <w:tcW w:w="720" w:type="dxa"/>
            <w:vAlign w:val="center"/>
          </w:tcPr>
          <w:p w14:paraId="2FDBF1FA" w14:textId="77777777" w:rsidR="006F46BF" w:rsidRDefault="00000000">
            <w:pPr>
              <w:spacing w:beforeAutospacing="1" w:afterAutospacing="1"/>
              <w:jc w:val="right"/>
            </w:pPr>
            <w:r>
              <w:rPr>
                <w:rFonts w:ascii="Arial" w:hAnsi="Arial"/>
                <w:color w:val="000000"/>
                <w:sz w:val="16"/>
              </w:rPr>
              <w:t xml:space="preserve"> </w:t>
            </w:r>
          </w:p>
        </w:tc>
      </w:tr>
      <w:tr w:rsidR="006F46BF" w14:paraId="6E6DE3E2" w14:textId="77777777">
        <w:trPr>
          <w:cantSplit/>
        </w:trPr>
        <w:tc>
          <w:tcPr>
            <w:tcW w:w="5490" w:type="dxa"/>
            <w:vAlign w:val="center"/>
          </w:tcPr>
          <w:p w14:paraId="37F8CD6C" w14:textId="77777777" w:rsidR="006F46BF" w:rsidRDefault="00000000">
            <w:pPr>
              <w:spacing w:beforeAutospacing="1" w:afterAutospacing="1"/>
            </w:pPr>
            <w:r>
              <w:rPr>
                <w:rFonts w:ascii="Arial" w:hAnsi="Arial"/>
                <w:color w:val="25396E"/>
                <w:sz w:val="16"/>
              </w:rPr>
              <w:t>Provided or connected residents with supportive services that can provide direct services or referrals.</w:t>
            </w:r>
          </w:p>
        </w:tc>
        <w:tc>
          <w:tcPr>
            <w:tcW w:w="810" w:type="dxa"/>
            <w:vAlign w:val="center"/>
          </w:tcPr>
          <w:p w14:paraId="5EED6D04" w14:textId="77777777" w:rsidR="006F46BF" w:rsidRDefault="00000000">
            <w:pPr>
              <w:spacing w:beforeAutospacing="1" w:afterAutospacing="1"/>
              <w:jc w:val="right"/>
            </w:pPr>
            <w:r>
              <w:rPr>
                <w:rFonts w:ascii="Arial" w:hAnsi="Arial"/>
                <w:color w:val="000000"/>
                <w:sz w:val="16"/>
              </w:rPr>
              <w:t>0</w:t>
            </w:r>
          </w:p>
        </w:tc>
        <w:tc>
          <w:tcPr>
            <w:tcW w:w="900" w:type="dxa"/>
            <w:vAlign w:val="center"/>
          </w:tcPr>
          <w:p w14:paraId="557C28EA" w14:textId="77777777" w:rsidR="006F46BF" w:rsidRDefault="00000000">
            <w:pPr>
              <w:spacing w:beforeAutospacing="1" w:afterAutospacing="1"/>
              <w:jc w:val="right"/>
            </w:pPr>
            <w:r>
              <w:rPr>
                <w:rFonts w:ascii="Arial" w:hAnsi="Arial"/>
                <w:color w:val="000000"/>
                <w:sz w:val="16"/>
              </w:rPr>
              <w:t>0</w:t>
            </w:r>
          </w:p>
        </w:tc>
        <w:tc>
          <w:tcPr>
            <w:tcW w:w="720" w:type="dxa"/>
            <w:vAlign w:val="center"/>
          </w:tcPr>
          <w:p w14:paraId="173A7985" w14:textId="77777777" w:rsidR="006F46BF" w:rsidRDefault="00000000">
            <w:pPr>
              <w:spacing w:beforeAutospacing="1" w:afterAutospacing="1"/>
              <w:jc w:val="right"/>
            </w:pPr>
            <w:r>
              <w:rPr>
                <w:rFonts w:ascii="Arial" w:hAnsi="Arial"/>
                <w:color w:val="000000"/>
                <w:sz w:val="16"/>
              </w:rPr>
              <w:t xml:space="preserve"> </w:t>
            </w:r>
          </w:p>
        </w:tc>
        <w:tc>
          <w:tcPr>
            <w:tcW w:w="990" w:type="dxa"/>
            <w:vAlign w:val="center"/>
          </w:tcPr>
          <w:p w14:paraId="395494FF" w14:textId="77777777" w:rsidR="006F46BF" w:rsidRDefault="00000000">
            <w:pPr>
              <w:spacing w:beforeAutospacing="1" w:afterAutospacing="1"/>
              <w:jc w:val="right"/>
            </w:pPr>
            <w:r>
              <w:rPr>
                <w:rFonts w:ascii="Arial" w:hAnsi="Arial"/>
                <w:color w:val="000000"/>
                <w:sz w:val="16"/>
              </w:rPr>
              <w:t xml:space="preserve"> </w:t>
            </w:r>
          </w:p>
        </w:tc>
        <w:tc>
          <w:tcPr>
            <w:tcW w:w="720" w:type="dxa"/>
            <w:vAlign w:val="center"/>
          </w:tcPr>
          <w:p w14:paraId="7CE4BE85" w14:textId="77777777" w:rsidR="006F46BF" w:rsidRDefault="00000000">
            <w:pPr>
              <w:spacing w:beforeAutospacing="1" w:afterAutospacing="1"/>
              <w:jc w:val="right"/>
            </w:pPr>
            <w:r>
              <w:rPr>
                <w:rFonts w:ascii="Arial" w:hAnsi="Arial"/>
                <w:color w:val="000000"/>
                <w:sz w:val="16"/>
              </w:rPr>
              <w:t xml:space="preserve"> </w:t>
            </w:r>
          </w:p>
        </w:tc>
      </w:tr>
      <w:tr w:rsidR="006F46BF" w14:paraId="12CD6C74" w14:textId="77777777">
        <w:trPr>
          <w:cantSplit/>
        </w:trPr>
        <w:tc>
          <w:tcPr>
            <w:tcW w:w="5490" w:type="dxa"/>
            <w:vAlign w:val="center"/>
          </w:tcPr>
          <w:p w14:paraId="08CC40C7" w14:textId="77777777" w:rsidR="006F46BF" w:rsidRDefault="00000000">
            <w:pPr>
              <w:spacing w:beforeAutospacing="1" w:afterAutospacing="1"/>
            </w:pPr>
            <w:r>
              <w:rPr>
                <w:rFonts w:ascii="Arial" w:hAnsi="Arial"/>
                <w:color w:val="25396E"/>
                <w:sz w:val="16"/>
              </w:rPr>
              <w:t>Provided or connected residents with supportive services that provide one or more of the following: work readiness health screenings, interview clothing, uniforms, test fees, transportation.</w:t>
            </w:r>
          </w:p>
        </w:tc>
        <w:tc>
          <w:tcPr>
            <w:tcW w:w="810" w:type="dxa"/>
            <w:vAlign w:val="center"/>
          </w:tcPr>
          <w:p w14:paraId="1EDDC685" w14:textId="77777777" w:rsidR="006F46BF" w:rsidRDefault="00000000">
            <w:pPr>
              <w:spacing w:beforeAutospacing="1" w:afterAutospacing="1"/>
              <w:jc w:val="right"/>
            </w:pPr>
            <w:r>
              <w:rPr>
                <w:rFonts w:ascii="Arial" w:hAnsi="Arial"/>
                <w:color w:val="000000"/>
                <w:sz w:val="16"/>
              </w:rPr>
              <w:t>0</w:t>
            </w:r>
          </w:p>
        </w:tc>
        <w:tc>
          <w:tcPr>
            <w:tcW w:w="900" w:type="dxa"/>
            <w:vAlign w:val="center"/>
          </w:tcPr>
          <w:p w14:paraId="3D15A6F2" w14:textId="77777777" w:rsidR="006F46BF" w:rsidRDefault="00000000">
            <w:pPr>
              <w:spacing w:beforeAutospacing="1" w:afterAutospacing="1"/>
              <w:jc w:val="right"/>
            </w:pPr>
            <w:r>
              <w:rPr>
                <w:rFonts w:ascii="Arial" w:hAnsi="Arial"/>
                <w:color w:val="000000"/>
                <w:sz w:val="16"/>
              </w:rPr>
              <w:t>0</w:t>
            </w:r>
          </w:p>
        </w:tc>
        <w:tc>
          <w:tcPr>
            <w:tcW w:w="720" w:type="dxa"/>
            <w:vAlign w:val="center"/>
          </w:tcPr>
          <w:p w14:paraId="02B26876" w14:textId="77777777" w:rsidR="006F46BF" w:rsidRDefault="00000000">
            <w:pPr>
              <w:spacing w:beforeAutospacing="1" w:afterAutospacing="1"/>
              <w:jc w:val="right"/>
            </w:pPr>
            <w:r>
              <w:rPr>
                <w:rFonts w:ascii="Arial" w:hAnsi="Arial"/>
                <w:color w:val="000000"/>
                <w:sz w:val="16"/>
              </w:rPr>
              <w:t xml:space="preserve"> </w:t>
            </w:r>
          </w:p>
        </w:tc>
        <w:tc>
          <w:tcPr>
            <w:tcW w:w="990" w:type="dxa"/>
            <w:vAlign w:val="center"/>
          </w:tcPr>
          <w:p w14:paraId="115E227B" w14:textId="77777777" w:rsidR="006F46BF" w:rsidRDefault="00000000">
            <w:pPr>
              <w:spacing w:beforeAutospacing="1" w:afterAutospacing="1"/>
              <w:jc w:val="right"/>
            </w:pPr>
            <w:r>
              <w:rPr>
                <w:rFonts w:ascii="Arial" w:hAnsi="Arial"/>
                <w:color w:val="000000"/>
                <w:sz w:val="16"/>
              </w:rPr>
              <w:t xml:space="preserve"> </w:t>
            </w:r>
          </w:p>
        </w:tc>
        <w:tc>
          <w:tcPr>
            <w:tcW w:w="720" w:type="dxa"/>
            <w:vAlign w:val="center"/>
          </w:tcPr>
          <w:p w14:paraId="635D7138" w14:textId="77777777" w:rsidR="006F46BF" w:rsidRDefault="00000000">
            <w:pPr>
              <w:spacing w:beforeAutospacing="1" w:afterAutospacing="1"/>
              <w:jc w:val="right"/>
            </w:pPr>
            <w:r>
              <w:rPr>
                <w:rFonts w:ascii="Arial" w:hAnsi="Arial"/>
                <w:color w:val="000000"/>
                <w:sz w:val="16"/>
              </w:rPr>
              <w:t xml:space="preserve"> </w:t>
            </w:r>
          </w:p>
        </w:tc>
      </w:tr>
      <w:tr w:rsidR="006F46BF" w14:paraId="04E13475" w14:textId="77777777">
        <w:trPr>
          <w:cantSplit/>
        </w:trPr>
        <w:tc>
          <w:tcPr>
            <w:tcW w:w="5490" w:type="dxa"/>
            <w:vAlign w:val="center"/>
          </w:tcPr>
          <w:p w14:paraId="6DC66253" w14:textId="77777777" w:rsidR="006F46BF" w:rsidRDefault="00000000">
            <w:pPr>
              <w:spacing w:beforeAutospacing="1" w:afterAutospacing="1"/>
            </w:pPr>
            <w:r>
              <w:rPr>
                <w:rFonts w:ascii="Arial" w:hAnsi="Arial"/>
                <w:color w:val="25396E"/>
                <w:sz w:val="16"/>
              </w:rPr>
              <w:t xml:space="preserve">Assisted residents with finding </w:t>
            </w:r>
            <w:proofErr w:type="gramStart"/>
            <w:r>
              <w:rPr>
                <w:rFonts w:ascii="Arial" w:hAnsi="Arial"/>
                <w:color w:val="25396E"/>
                <w:sz w:val="16"/>
              </w:rPr>
              <w:t>child care</w:t>
            </w:r>
            <w:proofErr w:type="gramEnd"/>
            <w:r>
              <w:rPr>
                <w:rFonts w:ascii="Arial" w:hAnsi="Arial"/>
                <w:color w:val="25396E"/>
                <w:sz w:val="16"/>
              </w:rPr>
              <w:t>.</w:t>
            </w:r>
          </w:p>
        </w:tc>
        <w:tc>
          <w:tcPr>
            <w:tcW w:w="810" w:type="dxa"/>
            <w:vAlign w:val="center"/>
          </w:tcPr>
          <w:p w14:paraId="6EB6EF3A" w14:textId="77777777" w:rsidR="006F46BF" w:rsidRDefault="00000000">
            <w:pPr>
              <w:spacing w:beforeAutospacing="1" w:afterAutospacing="1"/>
              <w:jc w:val="right"/>
            </w:pPr>
            <w:r>
              <w:rPr>
                <w:rFonts w:ascii="Arial" w:hAnsi="Arial"/>
                <w:color w:val="000000"/>
                <w:sz w:val="16"/>
              </w:rPr>
              <w:t>0</w:t>
            </w:r>
          </w:p>
        </w:tc>
        <w:tc>
          <w:tcPr>
            <w:tcW w:w="900" w:type="dxa"/>
            <w:vAlign w:val="center"/>
          </w:tcPr>
          <w:p w14:paraId="7B04859E" w14:textId="77777777" w:rsidR="006F46BF" w:rsidRDefault="00000000">
            <w:pPr>
              <w:spacing w:beforeAutospacing="1" w:afterAutospacing="1"/>
              <w:jc w:val="right"/>
            </w:pPr>
            <w:r>
              <w:rPr>
                <w:rFonts w:ascii="Arial" w:hAnsi="Arial"/>
                <w:color w:val="000000"/>
                <w:sz w:val="16"/>
              </w:rPr>
              <w:t>0</w:t>
            </w:r>
          </w:p>
        </w:tc>
        <w:tc>
          <w:tcPr>
            <w:tcW w:w="720" w:type="dxa"/>
            <w:vAlign w:val="center"/>
          </w:tcPr>
          <w:p w14:paraId="778700D8" w14:textId="77777777" w:rsidR="006F46BF" w:rsidRDefault="00000000">
            <w:pPr>
              <w:spacing w:beforeAutospacing="1" w:afterAutospacing="1"/>
              <w:jc w:val="right"/>
            </w:pPr>
            <w:r>
              <w:rPr>
                <w:rFonts w:ascii="Arial" w:hAnsi="Arial"/>
                <w:color w:val="000000"/>
                <w:sz w:val="16"/>
              </w:rPr>
              <w:t xml:space="preserve"> </w:t>
            </w:r>
          </w:p>
        </w:tc>
        <w:tc>
          <w:tcPr>
            <w:tcW w:w="990" w:type="dxa"/>
            <w:vAlign w:val="center"/>
          </w:tcPr>
          <w:p w14:paraId="113867D1" w14:textId="77777777" w:rsidR="006F46BF" w:rsidRDefault="00000000">
            <w:pPr>
              <w:spacing w:beforeAutospacing="1" w:afterAutospacing="1"/>
              <w:jc w:val="right"/>
            </w:pPr>
            <w:r>
              <w:rPr>
                <w:rFonts w:ascii="Arial" w:hAnsi="Arial"/>
                <w:color w:val="000000"/>
                <w:sz w:val="16"/>
              </w:rPr>
              <w:t xml:space="preserve"> </w:t>
            </w:r>
          </w:p>
        </w:tc>
        <w:tc>
          <w:tcPr>
            <w:tcW w:w="720" w:type="dxa"/>
            <w:vAlign w:val="center"/>
          </w:tcPr>
          <w:p w14:paraId="3BF36E74" w14:textId="77777777" w:rsidR="006F46BF" w:rsidRDefault="00000000">
            <w:pPr>
              <w:spacing w:beforeAutospacing="1" w:afterAutospacing="1"/>
              <w:jc w:val="right"/>
            </w:pPr>
            <w:r>
              <w:rPr>
                <w:rFonts w:ascii="Arial" w:hAnsi="Arial"/>
                <w:color w:val="000000"/>
                <w:sz w:val="16"/>
              </w:rPr>
              <w:t xml:space="preserve"> </w:t>
            </w:r>
          </w:p>
        </w:tc>
      </w:tr>
      <w:tr w:rsidR="006F46BF" w14:paraId="1C5B0676" w14:textId="77777777">
        <w:trPr>
          <w:cantSplit/>
        </w:trPr>
        <w:tc>
          <w:tcPr>
            <w:tcW w:w="5490" w:type="dxa"/>
            <w:vAlign w:val="center"/>
          </w:tcPr>
          <w:p w14:paraId="4EA61796" w14:textId="77777777" w:rsidR="006F46BF" w:rsidRDefault="00000000">
            <w:pPr>
              <w:spacing w:beforeAutospacing="1" w:afterAutospacing="1"/>
            </w:pPr>
            <w:r>
              <w:rPr>
                <w:rFonts w:ascii="Arial" w:hAnsi="Arial"/>
                <w:color w:val="25396E"/>
                <w:sz w:val="16"/>
              </w:rPr>
              <w:t xml:space="preserve">Assisted residents to apply </w:t>
            </w:r>
            <w:proofErr w:type="gramStart"/>
            <w:r>
              <w:rPr>
                <w:rFonts w:ascii="Arial" w:hAnsi="Arial"/>
                <w:color w:val="25396E"/>
                <w:sz w:val="16"/>
              </w:rPr>
              <w:t>for, or</w:t>
            </w:r>
            <w:proofErr w:type="gramEnd"/>
            <w:r>
              <w:rPr>
                <w:rFonts w:ascii="Arial" w:hAnsi="Arial"/>
                <w:color w:val="25396E"/>
                <w:sz w:val="16"/>
              </w:rPr>
              <w:t xml:space="preserve"> attend community college or a four year educational institution.</w:t>
            </w:r>
          </w:p>
        </w:tc>
        <w:tc>
          <w:tcPr>
            <w:tcW w:w="810" w:type="dxa"/>
            <w:vAlign w:val="center"/>
          </w:tcPr>
          <w:p w14:paraId="54E3C057" w14:textId="77777777" w:rsidR="006F46BF" w:rsidRDefault="00000000">
            <w:pPr>
              <w:spacing w:beforeAutospacing="1" w:afterAutospacing="1"/>
              <w:jc w:val="right"/>
            </w:pPr>
            <w:r>
              <w:rPr>
                <w:rFonts w:ascii="Arial" w:hAnsi="Arial"/>
                <w:color w:val="000000"/>
                <w:sz w:val="16"/>
              </w:rPr>
              <w:t>0</w:t>
            </w:r>
          </w:p>
        </w:tc>
        <w:tc>
          <w:tcPr>
            <w:tcW w:w="900" w:type="dxa"/>
            <w:vAlign w:val="center"/>
          </w:tcPr>
          <w:p w14:paraId="4056A432" w14:textId="77777777" w:rsidR="006F46BF" w:rsidRDefault="00000000">
            <w:pPr>
              <w:spacing w:beforeAutospacing="1" w:afterAutospacing="1"/>
              <w:jc w:val="right"/>
            </w:pPr>
            <w:r>
              <w:rPr>
                <w:rFonts w:ascii="Arial" w:hAnsi="Arial"/>
                <w:color w:val="000000"/>
                <w:sz w:val="16"/>
              </w:rPr>
              <w:t>0</w:t>
            </w:r>
          </w:p>
        </w:tc>
        <w:tc>
          <w:tcPr>
            <w:tcW w:w="720" w:type="dxa"/>
            <w:vAlign w:val="center"/>
          </w:tcPr>
          <w:p w14:paraId="56E5DCCB" w14:textId="77777777" w:rsidR="006F46BF" w:rsidRDefault="00000000">
            <w:pPr>
              <w:spacing w:beforeAutospacing="1" w:afterAutospacing="1"/>
              <w:jc w:val="right"/>
            </w:pPr>
            <w:r>
              <w:rPr>
                <w:rFonts w:ascii="Arial" w:hAnsi="Arial"/>
                <w:color w:val="000000"/>
                <w:sz w:val="16"/>
              </w:rPr>
              <w:t xml:space="preserve"> </w:t>
            </w:r>
          </w:p>
        </w:tc>
        <w:tc>
          <w:tcPr>
            <w:tcW w:w="990" w:type="dxa"/>
            <w:vAlign w:val="center"/>
          </w:tcPr>
          <w:p w14:paraId="4B542E4A" w14:textId="77777777" w:rsidR="006F46BF" w:rsidRDefault="00000000">
            <w:pPr>
              <w:spacing w:beforeAutospacing="1" w:afterAutospacing="1"/>
              <w:jc w:val="right"/>
            </w:pPr>
            <w:r>
              <w:rPr>
                <w:rFonts w:ascii="Arial" w:hAnsi="Arial"/>
                <w:color w:val="000000"/>
                <w:sz w:val="16"/>
              </w:rPr>
              <w:t xml:space="preserve"> </w:t>
            </w:r>
          </w:p>
        </w:tc>
        <w:tc>
          <w:tcPr>
            <w:tcW w:w="720" w:type="dxa"/>
            <w:vAlign w:val="center"/>
          </w:tcPr>
          <w:p w14:paraId="77809EDA" w14:textId="77777777" w:rsidR="006F46BF" w:rsidRDefault="00000000">
            <w:pPr>
              <w:spacing w:beforeAutospacing="1" w:afterAutospacing="1"/>
              <w:jc w:val="right"/>
            </w:pPr>
            <w:r>
              <w:rPr>
                <w:rFonts w:ascii="Arial" w:hAnsi="Arial"/>
                <w:color w:val="000000"/>
                <w:sz w:val="16"/>
              </w:rPr>
              <w:t xml:space="preserve"> </w:t>
            </w:r>
          </w:p>
        </w:tc>
      </w:tr>
      <w:tr w:rsidR="006F46BF" w14:paraId="7CEB3627" w14:textId="77777777">
        <w:trPr>
          <w:cantSplit/>
        </w:trPr>
        <w:tc>
          <w:tcPr>
            <w:tcW w:w="5490" w:type="dxa"/>
            <w:vAlign w:val="center"/>
          </w:tcPr>
          <w:p w14:paraId="6B139AAE" w14:textId="77777777" w:rsidR="006F46BF" w:rsidRDefault="00000000">
            <w:pPr>
              <w:spacing w:beforeAutospacing="1" w:afterAutospacing="1"/>
            </w:pPr>
            <w:r>
              <w:rPr>
                <w:rFonts w:ascii="Arial" w:hAnsi="Arial"/>
                <w:color w:val="25396E"/>
                <w:sz w:val="16"/>
              </w:rPr>
              <w:t xml:space="preserve">Assisted residents to apply </w:t>
            </w:r>
            <w:proofErr w:type="gramStart"/>
            <w:r>
              <w:rPr>
                <w:rFonts w:ascii="Arial" w:hAnsi="Arial"/>
                <w:color w:val="25396E"/>
                <w:sz w:val="16"/>
              </w:rPr>
              <w:t>for, or</w:t>
            </w:r>
            <w:proofErr w:type="gramEnd"/>
            <w:r>
              <w:rPr>
                <w:rFonts w:ascii="Arial" w:hAnsi="Arial"/>
                <w:color w:val="25396E"/>
                <w:sz w:val="16"/>
              </w:rPr>
              <w:t xml:space="preserve"> attend vocational/technical training.</w:t>
            </w:r>
          </w:p>
        </w:tc>
        <w:tc>
          <w:tcPr>
            <w:tcW w:w="810" w:type="dxa"/>
            <w:vAlign w:val="center"/>
          </w:tcPr>
          <w:p w14:paraId="6A21FFCB" w14:textId="77777777" w:rsidR="006F46BF" w:rsidRDefault="00000000">
            <w:pPr>
              <w:spacing w:beforeAutospacing="1" w:afterAutospacing="1"/>
              <w:jc w:val="right"/>
            </w:pPr>
            <w:r>
              <w:rPr>
                <w:rFonts w:ascii="Arial" w:hAnsi="Arial"/>
                <w:color w:val="000000"/>
                <w:sz w:val="16"/>
              </w:rPr>
              <w:t>0</w:t>
            </w:r>
          </w:p>
        </w:tc>
        <w:tc>
          <w:tcPr>
            <w:tcW w:w="900" w:type="dxa"/>
            <w:vAlign w:val="center"/>
          </w:tcPr>
          <w:p w14:paraId="355EEEE1" w14:textId="77777777" w:rsidR="006F46BF" w:rsidRDefault="00000000">
            <w:pPr>
              <w:spacing w:beforeAutospacing="1" w:afterAutospacing="1"/>
              <w:jc w:val="right"/>
            </w:pPr>
            <w:r>
              <w:rPr>
                <w:rFonts w:ascii="Arial" w:hAnsi="Arial"/>
                <w:color w:val="000000"/>
                <w:sz w:val="16"/>
              </w:rPr>
              <w:t>0</w:t>
            </w:r>
          </w:p>
        </w:tc>
        <w:tc>
          <w:tcPr>
            <w:tcW w:w="720" w:type="dxa"/>
            <w:vAlign w:val="center"/>
          </w:tcPr>
          <w:p w14:paraId="15FF094E" w14:textId="77777777" w:rsidR="006F46BF" w:rsidRDefault="00000000">
            <w:pPr>
              <w:spacing w:beforeAutospacing="1" w:afterAutospacing="1"/>
              <w:jc w:val="right"/>
            </w:pPr>
            <w:r>
              <w:rPr>
                <w:rFonts w:ascii="Arial" w:hAnsi="Arial"/>
                <w:color w:val="000000"/>
                <w:sz w:val="16"/>
              </w:rPr>
              <w:t xml:space="preserve"> </w:t>
            </w:r>
          </w:p>
        </w:tc>
        <w:tc>
          <w:tcPr>
            <w:tcW w:w="990" w:type="dxa"/>
            <w:vAlign w:val="center"/>
          </w:tcPr>
          <w:p w14:paraId="7414A776" w14:textId="77777777" w:rsidR="006F46BF" w:rsidRDefault="00000000">
            <w:pPr>
              <w:spacing w:beforeAutospacing="1" w:afterAutospacing="1"/>
              <w:jc w:val="right"/>
            </w:pPr>
            <w:r>
              <w:rPr>
                <w:rFonts w:ascii="Arial" w:hAnsi="Arial"/>
                <w:color w:val="000000"/>
                <w:sz w:val="16"/>
              </w:rPr>
              <w:t xml:space="preserve"> </w:t>
            </w:r>
          </w:p>
        </w:tc>
        <w:tc>
          <w:tcPr>
            <w:tcW w:w="720" w:type="dxa"/>
            <w:vAlign w:val="center"/>
          </w:tcPr>
          <w:p w14:paraId="57694790" w14:textId="77777777" w:rsidR="006F46BF" w:rsidRDefault="00000000">
            <w:pPr>
              <w:spacing w:beforeAutospacing="1" w:afterAutospacing="1"/>
              <w:jc w:val="right"/>
            </w:pPr>
            <w:r>
              <w:rPr>
                <w:rFonts w:ascii="Arial" w:hAnsi="Arial"/>
                <w:color w:val="000000"/>
                <w:sz w:val="16"/>
              </w:rPr>
              <w:t xml:space="preserve"> </w:t>
            </w:r>
          </w:p>
        </w:tc>
      </w:tr>
      <w:tr w:rsidR="006F46BF" w14:paraId="4701B141" w14:textId="77777777">
        <w:trPr>
          <w:cantSplit/>
        </w:trPr>
        <w:tc>
          <w:tcPr>
            <w:tcW w:w="5490" w:type="dxa"/>
            <w:vAlign w:val="center"/>
          </w:tcPr>
          <w:p w14:paraId="66896403" w14:textId="77777777" w:rsidR="006F46BF" w:rsidRDefault="00000000">
            <w:pPr>
              <w:spacing w:beforeAutospacing="1" w:afterAutospacing="1"/>
            </w:pPr>
            <w:r>
              <w:rPr>
                <w:rFonts w:ascii="Arial" w:hAnsi="Arial"/>
                <w:color w:val="25396E"/>
                <w:sz w:val="16"/>
              </w:rPr>
              <w:t>Assisted residents to obtain financial literacy training and/or coaching.</w:t>
            </w:r>
          </w:p>
        </w:tc>
        <w:tc>
          <w:tcPr>
            <w:tcW w:w="810" w:type="dxa"/>
            <w:vAlign w:val="center"/>
          </w:tcPr>
          <w:p w14:paraId="3FCEAC05" w14:textId="77777777" w:rsidR="006F46BF" w:rsidRDefault="00000000">
            <w:pPr>
              <w:spacing w:beforeAutospacing="1" w:afterAutospacing="1"/>
              <w:jc w:val="right"/>
            </w:pPr>
            <w:r>
              <w:rPr>
                <w:rFonts w:ascii="Arial" w:hAnsi="Arial"/>
                <w:color w:val="000000"/>
                <w:sz w:val="16"/>
              </w:rPr>
              <w:t>0</w:t>
            </w:r>
          </w:p>
        </w:tc>
        <w:tc>
          <w:tcPr>
            <w:tcW w:w="900" w:type="dxa"/>
            <w:vAlign w:val="center"/>
          </w:tcPr>
          <w:p w14:paraId="76AA08FD" w14:textId="77777777" w:rsidR="006F46BF" w:rsidRDefault="00000000">
            <w:pPr>
              <w:spacing w:beforeAutospacing="1" w:afterAutospacing="1"/>
              <w:jc w:val="right"/>
            </w:pPr>
            <w:r>
              <w:rPr>
                <w:rFonts w:ascii="Arial" w:hAnsi="Arial"/>
                <w:color w:val="000000"/>
                <w:sz w:val="16"/>
              </w:rPr>
              <w:t>0</w:t>
            </w:r>
          </w:p>
        </w:tc>
        <w:tc>
          <w:tcPr>
            <w:tcW w:w="720" w:type="dxa"/>
            <w:vAlign w:val="center"/>
          </w:tcPr>
          <w:p w14:paraId="7427D58E" w14:textId="77777777" w:rsidR="006F46BF" w:rsidRDefault="00000000">
            <w:pPr>
              <w:spacing w:beforeAutospacing="1" w:afterAutospacing="1"/>
              <w:jc w:val="right"/>
            </w:pPr>
            <w:r>
              <w:rPr>
                <w:rFonts w:ascii="Arial" w:hAnsi="Arial"/>
                <w:color w:val="000000"/>
                <w:sz w:val="16"/>
              </w:rPr>
              <w:t xml:space="preserve"> </w:t>
            </w:r>
          </w:p>
        </w:tc>
        <w:tc>
          <w:tcPr>
            <w:tcW w:w="990" w:type="dxa"/>
            <w:vAlign w:val="center"/>
          </w:tcPr>
          <w:p w14:paraId="3738AE55" w14:textId="77777777" w:rsidR="006F46BF" w:rsidRDefault="00000000">
            <w:pPr>
              <w:spacing w:beforeAutospacing="1" w:afterAutospacing="1"/>
              <w:jc w:val="right"/>
            </w:pPr>
            <w:r>
              <w:rPr>
                <w:rFonts w:ascii="Arial" w:hAnsi="Arial"/>
                <w:color w:val="000000"/>
                <w:sz w:val="16"/>
              </w:rPr>
              <w:t xml:space="preserve"> </w:t>
            </w:r>
          </w:p>
        </w:tc>
        <w:tc>
          <w:tcPr>
            <w:tcW w:w="720" w:type="dxa"/>
            <w:vAlign w:val="center"/>
          </w:tcPr>
          <w:p w14:paraId="1484D590" w14:textId="77777777" w:rsidR="006F46BF" w:rsidRDefault="00000000">
            <w:pPr>
              <w:spacing w:beforeAutospacing="1" w:afterAutospacing="1"/>
              <w:jc w:val="right"/>
            </w:pPr>
            <w:r>
              <w:rPr>
                <w:rFonts w:ascii="Arial" w:hAnsi="Arial"/>
                <w:color w:val="000000"/>
                <w:sz w:val="16"/>
              </w:rPr>
              <w:t xml:space="preserve"> </w:t>
            </w:r>
          </w:p>
        </w:tc>
      </w:tr>
      <w:tr w:rsidR="006F46BF" w14:paraId="1114B04A" w14:textId="77777777">
        <w:trPr>
          <w:cantSplit/>
        </w:trPr>
        <w:tc>
          <w:tcPr>
            <w:tcW w:w="5490" w:type="dxa"/>
            <w:vAlign w:val="center"/>
          </w:tcPr>
          <w:p w14:paraId="26F9F071" w14:textId="77777777" w:rsidR="006F46BF" w:rsidRDefault="00000000">
            <w:pPr>
              <w:spacing w:beforeAutospacing="1" w:afterAutospacing="1"/>
            </w:pPr>
            <w:r>
              <w:rPr>
                <w:rFonts w:ascii="Arial" w:hAnsi="Arial"/>
                <w:color w:val="25396E"/>
                <w:sz w:val="16"/>
              </w:rPr>
              <w:t>Bonding assistance, guaranties, or other efforts to support viable bids from Section 3 business concerns.</w:t>
            </w:r>
          </w:p>
        </w:tc>
        <w:tc>
          <w:tcPr>
            <w:tcW w:w="810" w:type="dxa"/>
            <w:vAlign w:val="center"/>
          </w:tcPr>
          <w:p w14:paraId="5D89F31E" w14:textId="77777777" w:rsidR="006F46BF" w:rsidRDefault="00000000">
            <w:pPr>
              <w:spacing w:beforeAutospacing="1" w:afterAutospacing="1"/>
              <w:jc w:val="right"/>
            </w:pPr>
            <w:r>
              <w:rPr>
                <w:rFonts w:ascii="Arial" w:hAnsi="Arial"/>
                <w:color w:val="000000"/>
                <w:sz w:val="16"/>
              </w:rPr>
              <w:t>0</w:t>
            </w:r>
          </w:p>
        </w:tc>
        <w:tc>
          <w:tcPr>
            <w:tcW w:w="900" w:type="dxa"/>
            <w:vAlign w:val="center"/>
          </w:tcPr>
          <w:p w14:paraId="1040BE76" w14:textId="77777777" w:rsidR="006F46BF" w:rsidRDefault="00000000">
            <w:pPr>
              <w:spacing w:beforeAutospacing="1" w:afterAutospacing="1"/>
              <w:jc w:val="right"/>
            </w:pPr>
            <w:r>
              <w:rPr>
                <w:rFonts w:ascii="Arial" w:hAnsi="Arial"/>
                <w:color w:val="000000"/>
                <w:sz w:val="16"/>
              </w:rPr>
              <w:t>0</w:t>
            </w:r>
          </w:p>
        </w:tc>
        <w:tc>
          <w:tcPr>
            <w:tcW w:w="720" w:type="dxa"/>
            <w:vAlign w:val="center"/>
          </w:tcPr>
          <w:p w14:paraId="1ED77250" w14:textId="77777777" w:rsidR="006F46BF" w:rsidRDefault="00000000">
            <w:pPr>
              <w:spacing w:beforeAutospacing="1" w:afterAutospacing="1"/>
              <w:jc w:val="right"/>
            </w:pPr>
            <w:r>
              <w:rPr>
                <w:rFonts w:ascii="Arial" w:hAnsi="Arial"/>
                <w:color w:val="000000"/>
                <w:sz w:val="16"/>
              </w:rPr>
              <w:t xml:space="preserve"> </w:t>
            </w:r>
          </w:p>
        </w:tc>
        <w:tc>
          <w:tcPr>
            <w:tcW w:w="990" w:type="dxa"/>
            <w:vAlign w:val="center"/>
          </w:tcPr>
          <w:p w14:paraId="4A491871" w14:textId="77777777" w:rsidR="006F46BF" w:rsidRDefault="00000000">
            <w:pPr>
              <w:spacing w:beforeAutospacing="1" w:afterAutospacing="1"/>
              <w:jc w:val="right"/>
            </w:pPr>
            <w:r>
              <w:rPr>
                <w:rFonts w:ascii="Arial" w:hAnsi="Arial"/>
                <w:color w:val="000000"/>
                <w:sz w:val="16"/>
              </w:rPr>
              <w:t xml:space="preserve"> </w:t>
            </w:r>
          </w:p>
        </w:tc>
        <w:tc>
          <w:tcPr>
            <w:tcW w:w="720" w:type="dxa"/>
            <w:vAlign w:val="center"/>
          </w:tcPr>
          <w:p w14:paraId="713B756C" w14:textId="77777777" w:rsidR="006F46BF" w:rsidRDefault="00000000">
            <w:pPr>
              <w:spacing w:beforeAutospacing="1" w:afterAutospacing="1"/>
              <w:jc w:val="right"/>
            </w:pPr>
            <w:r>
              <w:rPr>
                <w:rFonts w:ascii="Arial" w:hAnsi="Arial"/>
                <w:color w:val="000000"/>
                <w:sz w:val="16"/>
              </w:rPr>
              <w:t xml:space="preserve"> </w:t>
            </w:r>
          </w:p>
        </w:tc>
      </w:tr>
      <w:tr w:rsidR="006F46BF" w14:paraId="3356ED1B" w14:textId="77777777">
        <w:trPr>
          <w:cantSplit/>
        </w:trPr>
        <w:tc>
          <w:tcPr>
            <w:tcW w:w="5490" w:type="dxa"/>
            <w:vAlign w:val="center"/>
          </w:tcPr>
          <w:p w14:paraId="61BBCAB1" w14:textId="77777777" w:rsidR="006F46BF" w:rsidRDefault="00000000">
            <w:pPr>
              <w:spacing w:beforeAutospacing="1" w:afterAutospacing="1"/>
            </w:pPr>
            <w:r>
              <w:rPr>
                <w:rFonts w:ascii="Arial" w:hAnsi="Arial"/>
                <w:color w:val="25396E"/>
                <w:sz w:val="16"/>
              </w:rPr>
              <w:t>Provided or connected residents with training on computer use or online technologies.</w:t>
            </w:r>
          </w:p>
        </w:tc>
        <w:tc>
          <w:tcPr>
            <w:tcW w:w="810" w:type="dxa"/>
            <w:vAlign w:val="center"/>
          </w:tcPr>
          <w:p w14:paraId="7C5BD0E6" w14:textId="77777777" w:rsidR="006F46BF" w:rsidRDefault="00000000">
            <w:pPr>
              <w:spacing w:beforeAutospacing="1" w:afterAutospacing="1"/>
              <w:jc w:val="right"/>
            </w:pPr>
            <w:r>
              <w:rPr>
                <w:rFonts w:ascii="Arial" w:hAnsi="Arial"/>
                <w:color w:val="000000"/>
                <w:sz w:val="16"/>
              </w:rPr>
              <w:t>0</w:t>
            </w:r>
          </w:p>
        </w:tc>
        <w:tc>
          <w:tcPr>
            <w:tcW w:w="900" w:type="dxa"/>
            <w:vAlign w:val="center"/>
          </w:tcPr>
          <w:p w14:paraId="6969F745" w14:textId="77777777" w:rsidR="006F46BF" w:rsidRDefault="00000000">
            <w:pPr>
              <w:spacing w:beforeAutospacing="1" w:afterAutospacing="1"/>
              <w:jc w:val="right"/>
            </w:pPr>
            <w:r>
              <w:rPr>
                <w:rFonts w:ascii="Arial" w:hAnsi="Arial"/>
                <w:color w:val="000000"/>
                <w:sz w:val="16"/>
              </w:rPr>
              <w:t>0</w:t>
            </w:r>
          </w:p>
        </w:tc>
        <w:tc>
          <w:tcPr>
            <w:tcW w:w="720" w:type="dxa"/>
            <w:vAlign w:val="center"/>
          </w:tcPr>
          <w:p w14:paraId="21400BAD" w14:textId="77777777" w:rsidR="006F46BF" w:rsidRDefault="00000000">
            <w:pPr>
              <w:spacing w:beforeAutospacing="1" w:afterAutospacing="1"/>
              <w:jc w:val="right"/>
            </w:pPr>
            <w:r>
              <w:rPr>
                <w:rFonts w:ascii="Arial" w:hAnsi="Arial"/>
                <w:color w:val="000000"/>
                <w:sz w:val="16"/>
              </w:rPr>
              <w:t xml:space="preserve"> </w:t>
            </w:r>
          </w:p>
        </w:tc>
        <w:tc>
          <w:tcPr>
            <w:tcW w:w="990" w:type="dxa"/>
            <w:vAlign w:val="center"/>
          </w:tcPr>
          <w:p w14:paraId="310CBE1F" w14:textId="77777777" w:rsidR="006F46BF" w:rsidRDefault="00000000">
            <w:pPr>
              <w:spacing w:beforeAutospacing="1" w:afterAutospacing="1"/>
              <w:jc w:val="right"/>
            </w:pPr>
            <w:r>
              <w:rPr>
                <w:rFonts w:ascii="Arial" w:hAnsi="Arial"/>
                <w:color w:val="000000"/>
                <w:sz w:val="16"/>
              </w:rPr>
              <w:t xml:space="preserve"> </w:t>
            </w:r>
          </w:p>
        </w:tc>
        <w:tc>
          <w:tcPr>
            <w:tcW w:w="720" w:type="dxa"/>
            <w:vAlign w:val="center"/>
          </w:tcPr>
          <w:p w14:paraId="50E66FAC" w14:textId="77777777" w:rsidR="006F46BF" w:rsidRDefault="00000000">
            <w:pPr>
              <w:spacing w:beforeAutospacing="1" w:afterAutospacing="1"/>
              <w:jc w:val="right"/>
            </w:pPr>
            <w:r>
              <w:rPr>
                <w:rFonts w:ascii="Arial" w:hAnsi="Arial"/>
                <w:color w:val="000000"/>
                <w:sz w:val="16"/>
              </w:rPr>
              <w:t xml:space="preserve"> </w:t>
            </w:r>
          </w:p>
        </w:tc>
      </w:tr>
      <w:tr w:rsidR="006F46BF" w14:paraId="0393AF9A" w14:textId="77777777">
        <w:trPr>
          <w:cantSplit/>
        </w:trPr>
        <w:tc>
          <w:tcPr>
            <w:tcW w:w="5490" w:type="dxa"/>
            <w:vAlign w:val="center"/>
          </w:tcPr>
          <w:p w14:paraId="28D2F38F" w14:textId="77777777" w:rsidR="006F46BF" w:rsidRDefault="00000000">
            <w:pPr>
              <w:spacing w:beforeAutospacing="1" w:afterAutospacing="1"/>
            </w:pPr>
            <w:r>
              <w:rPr>
                <w:rFonts w:ascii="Arial" w:hAnsi="Arial"/>
                <w:color w:val="25396E"/>
                <w:sz w:val="16"/>
              </w:rPr>
              <w:t>Promoting the use of a business registry designed to create opportunities for disadvantaged and small businesses.</w:t>
            </w:r>
          </w:p>
        </w:tc>
        <w:tc>
          <w:tcPr>
            <w:tcW w:w="810" w:type="dxa"/>
            <w:vAlign w:val="center"/>
          </w:tcPr>
          <w:p w14:paraId="3FD68B1E" w14:textId="77777777" w:rsidR="006F46BF" w:rsidRDefault="00000000">
            <w:pPr>
              <w:spacing w:beforeAutospacing="1" w:afterAutospacing="1"/>
              <w:jc w:val="right"/>
            </w:pPr>
            <w:r>
              <w:rPr>
                <w:rFonts w:ascii="Arial" w:hAnsi="Arial"/>
                <w:color w:val="000000"/>
                <w:sz w:val="16"/>
              </w:rPr>
              <w:t>0</w:t>
            </w:r>
          </w:p>
        </w:tc>
        <w:tc>
          <w:tcPr>
            <w:tcW w:w="900" w:type="dxa"/>
            <w:vAlign w:val="center"/>
          </w:tcPr>
          <w:p w14:paraId="24A3D365" w14:textId="77777777" w:rsidR="006F46BF" w:rsidRDefault="00000000">
            <w:pPr>
              <w:spacing w:beforeAutospacing="1" w:afterAutospacing="1"/>
              <w:jc w:val="right"/>
            </w:pPr>
            <w:r>
              <w:rPr>
                <w:rFonts w:ascii="Arial" w:hAnsi="Arial"/>
                <w:color w:val="000000"/>
                <w:sz w:val="16"/>
              </w:rPr>
              <w:t>0</w:t>
            </w:r>
          </w:p>
        </w:tc>
        <w:tc>
          <w:tcPr>
            <w:tcW w:w="720" w:type="dxa"/>
            <w:vAlign w:val="center"/>
          </w:tcPr>
          <w:p w14:paraId="3BF186D5" w14:textId="77777777" w:rsidR="006F46BF" w:rsidRDefault="00000000">
            <w:pPr>
              <w:spacing w:beforeAutospacing="1" w:afterAutospacing="1"/>
              <w:jc w:val="right"/>
            </w:pPr>
            <w:r>
              <w:rPr>
                <w:rFonts w:ascii="Arial" w:hAnsi="Arial"/>
                <w:color w:val="000000"/>
                <w:sz w:val="16"/>
              </w:rPr>
              <w:t xml:space="preserve"> </w:t>
            </w:r>
          </w:p>
        </w:tc>
        <w:tc>
          <w:tcPr>
            <w:tcW w:w="990" w:type="dxa"/>
            <w:vAlign w:val="center"/>
          </w:tcPr>
          <w:p w14:paraId="3BCE7B9C" w14:textId="77777777" w:rsidR="006F46BF" w:rsidRDefault="00000000">
            <w:pPr>
              <w:spacing w:beforeAutospacing="1" w:afterAutospacing="1"/>
              <w:jc w:val="right"/>
            </w:pPr>
            <w:r>
              <w:rPr>
                <w:rFonts w:ascii="Arial" w:hAnsi="Arial"/>
                <w:color w:val="000000"/>
                <w:sz w:val="16"/>
              </w:rPr>
              <w:t xml:space="preserve"> </w:t>
            </w:r>
          </w:p>
        </w:tc>
        <w:tc>
          <w:tcPr>
            <w:tcW w:w="720" w:type="dxa"/>
            <w:vAlign w:val="center"/>
          </w:tcPr>
          <w:p w14:paraId="7B68EE87" w14:textId="77777777" w:rsidR="006F46BF" w:rsidRDefault="00000000">
            <w:pPr>
              <w:spacing w:beforeAutospacing="1" w:afterAutospacing="1"/>
              <w:jc w:val="right"/>
            </w:pPr>
            <w:r>
              <w:rPr>
                <w:rFonts w:ascii="Arial" w:hAnsi="Arial"/>
                <w:color w:val="000000"/>
                <w:sz w:val="16"/>
              </w:rPr>
              <w:t xml:space="preserve"> </w:t>
            </w:r>
          </w:p>
        </w:tc>
      </w:tr>
      <w:tr w:rsidR="006F46BF" w14:paraId="5388E033" w14:textId="77777777">
        <w:trPr>
          <w:cantSplit/>
        </w:trPr>
        <w:tc>
          <w:tcPr>
            <w:tcW w:w="5490" w:type="dxa"/>
            <w:vAlign w:val="center"/>
          </w:tcPr>
          <w:p w14:paraId="53C4527A" w14:textId="77777777" w:rsidR="006F46BF" w:rsidRDefault="00000000">
            <w:pPr>
              <w:spacing w:beforeAutospacing="1" w:afterAutospacing="1"/>
            </w:pPr>
            <w:r>
              <w:rPr>
                <w:rFonts w:ascii="Arial" w:hAnsi="Arial"/>
                <w:color w:val="25396E"/>
                <w:sz w:val="16"/>
              </w:rPr>
              <w:t>Outreach, engagement, or referrals with the state one-stop system, as designed in Section 121(e)(2) of the Workforce Innovation and Opportunity Act.</w:t>
            </w:r>
          </w:p>
        </w:tc>
        <w:tc>
          <w:tcPr>
            <w:tcW w:w="810" w:type="dxa"/>
            <w:vAlign w:val="center"/>
          </w:tcPr>
          <w:p w14:paraId="2D9D009E" w14:textId="77777777" w:rsidR="006F46BF" w:rsidRDefault="00000000">
            <w:pPr>
              <w:spacing w:beforeAutospacing="1" w:afterAutospacing="1"/>
              <w:jc w:val="right"/>
            </w:pPr>
            <w:r>
              <w:rPr>
                <w:rFonts w:ascii="Arial" w:hAnsi="Arial"/>
                <w:color w:val="000000"/>
                <w:sz w:val="16"/>
              </w:rPr>
              <w:t>0</w:t>
            </w:r>
          </w:p>
        </w:tc>
        <w:tc>
          <w:tcPr>
            <w:tcW w:w="900" w:type="dxa"/>
            <w:vAlign w:val="center"/>
          </w:tcPr>
          <w:p w14:paraId="7B2D6F42" w14:textId="77777777" w:rsidR="006F46BF" w:rsidRDefault="00000000">
            <w:pPr>
              <w:spacing w:beforeAutospacing="1" w:afterAutospacing="1"/>
              <w:jc w:val="right"/>
            </w:pPr>
            <w:r>
              <w:rPr>
                <w:rFonts w:ascii="Arial" w:hAnsi="Arial"/>
                <w:color w:val="000000"/>
                <w:sz w:val="16"/>
              </w:rPr>
              <w:t>0</w:t>
            </w:r>
          </w:p>
        </w:tc>
        <w:tc>
          <w:tcPr>
            <w:tcW w:w="720" w:type="dxa"/>
            <w:vAlign w:val="center"/>
          </w:tcPr>
          <w:p w14:paraId="19122A38" w14:textId="77777777" w:rsidR="006F46BF" w:rsidRDefault="00000000">
            <w:pPr>
              <w:spacing w:beforeAutospacing="1" w:afterAutospacing="1"/>
              <w:jc w:val="right"/>
            </w:pPr>
            <w:r>
              <w:rPr>
                <w:rFonts w:ascii="Arial" w:hAnsi="Arial"/>
                <w:color w:val="000000"/>
                <w:sz w:val="16"/>
              </w:rPr>
              <w:t xml:space="preserve"> </w:t>
            </w:r>
          </w:p>
        </w:tc>
        <w:tc>
          <w:tcPr>
            <w:tcW w:w="990" w:type="dxa"/>
            <w:vAlign w:val="center"/>
          </w:tcPr>
          <w:p w14:paraId="68EA67E7" w14:textId="77777777" w:rsidR="006F46BF" w:rsidRDefault="00000000">
            <w:pPr>
              <w:spacing w:beforeAutospacing="1" w:afterAutospacing="1"/>
              <w:jc w:val="right"/>
            </w:pPr>
            <w:r>
              <w:rPr>
                <w:rFonts w:ascii="Arial" w:hAnsi="Arial"/>
                <w:color w:val="000000"/>
                <w:sz w:val="16"/>
              </w:rPr>
              <w:t xml:space="preserve"> </w:t>
            </w:r>
          </w:p>
        </w:tc>
        <w:tc>
          <w:tcPr>
            <w:tcW w:w="720" w:type="dxa"/>
            <w:vAlign w:val="center"/>
          </w:tcPr>
          <w:p w14:paraId="03A106A7" w14:textId="77777777" w:rsidR="006F46BF" w:rsidRDefault="00000000">
            <w:pPr>
              <w:spacing w:beforeAutospacing="1" w:afterAutospacing="1"/>
              <w:jc w:val="right"/>
            </w:pPr>
            <w:r>
              <w:rPr>
                <w:rFonts w:ascii="Arial" w:hAnsi="Arial"/>
                <w:color w:val="000000"/>
                <w:sz w:val="16"/>
              </w:rPr>
              <w:t xml:space="preserve"> </w:t>
            </w:r>
          </w:p>
        </w:tc>
      </w:tr>
      <w:tr w:rsidR="006F46BF" w14:paraId="5ED109AA" w14:textId="77777777">
        <w:trPr>
          <w:cantSplit/>
        </w:trPr>
        <w:tc>
          <w:tcPr>
            <w:tcW w:w="5490" w:type="dxa"/>
            <w:vAlign w:val="center"/>
          </w:tcPr>
          <w:p w14:paraId="450DF2D2" w14:textId="77777777" w:rsidR="006F46BF" w:rsidRDefault="00000000">
            <w:pPr>
              <w:spacing w:beforeAutospacing="1" w:afterAutospacing="1"/>
            </w:pPr>
            <w:r>
              <w:rPr>
                <w:rFonts w:ascii="Arial" w:hAnsi="Arial"/>
                <w:color w:val="25396E"/>
                <w:sz w:val="16"/>
              </w:rPr>
              <w:lastRenderedPageBreak/>
              <w:t>Other.</w:t>
            </w:r>
          </w:p>
        </w:tc>
        <w:tc>
          <w:tcPr>
            <w:tcW w:w="810" w:type="dxa"/>
            <w:vAlign w:val="center"/>
          </w:tcPr>
          <w:p w14:paraId="43294A84" w14:textId="77777777" w:rsidR="006F46BF" w:rsidRDefault="00000000">
            <w:pPr>
              <w:spacing w:beforeAutospacing="1" w:afterAutospacing="1"/>
              <w:jc w:val="right"/>
            </w:pPr>
            <w:r>
              <w:rPr>
                <w:rFonts w:ascii="Arial" w:hAnsi="Arial"/>
                <w:color w:val="000000"/>
                <w:sz w:val="16"/>
              </w:rPr>
              <w:t>0</w:t>
            </w:r>
          </w:p>
        </w:tc>
        <w:tc>
          <w:tcPr>
            <w:tcW w:w="900" w:type="dxa"/>
            <w:vAlign w:val="center"/>
          </w:tcPr>
          <w:p w14:paraId="221C76D5" w14:textId="77777777" w:rsidR="006F46BF" w:rsidRDefault="00000000">
            <w:pPr>
              <w:spacing w:beforeAutospacing="1" w:afterAutospacing="1"/>
              <w:jc w:val="right"/>
            </w:pPr>
            <w:r>
              <w:rPr>
                <w:rFonts w:ascii="Arial" w:hAnsi="Arial"/>
                <w:color w:val="000000"/>
                <w:sz w:val="16"/>
              </w:rPr>
              <w:t>0</w:t>
            </w:r>
          </w:p>
        </w:tc>
        <w:tc>
          <w:tcPr>
            <w:tcW w:w="720" w:type="dxa"/>
            <w:vAlign w:val="center"/>
          </w:tcPr>
          <w:p w14:paraId="39078ACB" w14:textId="77777777" w:rsidR="006F46BF" w:rsidRDefault="00000000">
            <w:pPr>
              <w:spacing w:beforeAutospacing="1" w:afterAutospacing="1"/>
              <w:jc w:val="right"/>
            </w:pPr>
            <w:r>
              <w:rPr>
                <w:rFonts w:ascii="Arial" w:hAnsi="Arial"/>
                <w:color w:val="000000"/>
                <w:sz w:val="16"/>
              </w:rPr>
              <w:t xml:space="preserve"> </w:t>
            </w:r>
          </w:p>
        </w:tc>
        <w:tc>
          <w:tcPr>
            <w:tcW w:w="990" w:type="dxa"/>
            <w:vAlign w:val="center"/>
          </w:tcPr>
          <w:p w14:paraId="7164572C" w14:textId="77777777" w:rsidR="006F46BF" w:rsidRDefault="00000000">
            <w:pPr>
              <w:spacing w:beforeAutospacing="1" w:afterAutospacing="1"/>
              <w:jc w:val="right"/>
            </w:pPr>
            <w:r>
              <w:rPr>
                <w:rFonts w:ascii="Arial" w:hAnsi="Arial"/>
                <w:color w:val="000000"/>
                <w:sz w:val="16"/>
              </w:rPr>
              <w:t xml:space="preserve"> </w:t>
            </w:r>
          </w:p>
        </w:tc>
        <w:tc>
          <w:tcPr>
            <w:tcW w:w="720" w:type="dxa"/>
            <w:vAlign w:val="center"/>
          </w:tcPr>
          <w:p w14:paraId="3171337D" w14:textId="77777777" w:rsidR="006F46BF" w:rsidRDefault="00000000">
            <w:pPr>
              <w:spacing w:beforeAutospacing="1" w:afterAutospacing="1"/>
              <w:jc w:val="right"/>
            </w:pPr>
            <w:r>
              <w:rPr>
                <w:rFonts w:ascii="Arial" w:hAnsi="Arial"/>
                <w:color w:val="000000"/>
                <w:sz w:val="16"/>
              </w:rPr>
              <w:t xml:space="preserve"> </w:t>
            </w:r>
          </w:p>
        </w:tc>
      </w:tr>
    </w:tbl>
    <w:p w14:paraId="146CB4FF" w14:textId="77777777" w:rsidR="006F46BF" w:rsidRDefault="00000000">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16</w:t>
      </w:r>
      <w:r>
        <w:rPr>
          <w:rFonts w:asciiTheme="minorHAnsi" w:hAnsiTheme="minorHAnsi"/>
        </w:rPr>
        <w:fldChar w:fldCharType="end"/>
      </w:r>
      <w:r>
        <w:rPr>
          <w:rFonts w:asciiTheme="minorHAnsi" w:hAnsiTheme="minorHAnsi"/>
        </w:rPr>
        <w:t xml:space="preserve"> – Qualitative Efforts - Number of Activities by Program</w:t>
      </w:r>
    </w:p>
    <w:p w14:paraId="2968663E" w14:textId="77777777" w:rsidR="006F46BF" w:rsidRDefault="006F46BF">
      <w:pPr>
        <w:widowControl w:val="0"/>
        <w:rPr>
          <w:b/>
          <w:sz w:val="24"/>
          <w:szCs w:val="24"/>
        </w:rPr>
      </w:pPr>
    </w:p>
    <w:p w14:paraId="25271691" w14:textId="77777777" w:rsidR="006F46BF" w:rsidRDefault="00000000">
      <w:pPr>
        <w:widowControl w:val="0"/>
        <w:rPr>
          <w:b/>
          <w:sz w:val="24"/>
          <w:szCs w:val="24"/>
        </w:rPr>
      </w:pPr>
      <w:r>
        <w:rPr>
          <w:b/>
          <w:sz w:val="24"/>
          <w:szCs w:val="24"/>
        </w:rPr>
        <w:t>Narrative</w:t>
      </w:r>
    </w:p>
    <w:p w14:paraId="67997B6F" w14:textId="77777777" w:rsidR="006F46BF" w:rsidRDefault="00000000">
      <w:pPr>
        <w:widowControl w:val="0"/>
        <w:spacing w:beforeAutospacing="1" w:afterAutospacing="1"/>
        <w:rPr>
          <w:rFonts w:cs="Arial"/>
        </w:rPr>
      </w:pPr>
      <w:r>
        <w:rPr>
          <w:rFonts w:cs="Arial"/>
        </w:rPr>
        <w:t xml:space="preserve">The city has committed ongoing efforts to promote Section 3 efforts. More specifically the Neighborhood Development Division has provided "technical assistance" to approximately three (2) potential Section 3 business concerns requiring assistance completing Section 3 forms and accessing the Section 3 Business Registry. NDD also </w:t>
      </w:r>
      <w:r>
        <w:rPr>
          <w:rFonts w:cs="Arial"/>
          <w:i/>
        </w:rPr>
        <w:t xml:space="preserve">"provided or connected" four (4) residents with supportive services that can provide direct services and </w:t>
      </w:r>
      <w:proofErr w:type="gramStart"/>
      <w:r>
        <w:rPr>
          <w:rFonts w:cs="Arial"/>
          <w:i/>
        </w:rPr>
        <w:t>referrals</w:t>
      </w:r>
      <w:r>
        <w:rPr>
          <w:rFonts w:cs="Arial"/>
        </w:rPr>
        <w:t>  (</w:t>
      </w:r>
      <w:proofErr w:type="gramEnd"/>
      <w:r>
        <w:rPr>
          <w:rFonts w:cs="Arial"/>
        </w:rPr>
        <w:t xml:space="preserve">e.g. SELF, OHIO Means Jobs, etc.). Lastly, the city promoted the use of a business registry designed to create opportunities... to </w:t>
      </w:r>
      <w:r>
        <w:rPr>
          <w:rFonts w:cs="Arial"/>
          <w:i/>
        </w:rPr>
        <w:t>approximately four (4) applicants</w:t>
      </w:r>
      <w:r>
        <w:rPr>
          <w:rFonts w:cs="Arial"/>
        </w:rPr>
        <w:t xml:space="preserve"> (</w:t>
      </w:r>
      <w:proofErr w:type="gramStart"/>
      <w:r>
        <w:rPr>
          <w:rFonts w:cs="Arial"/>
        </w:rPr>
        <w:t>e.g.</w:t>
      </w:r>
      <w:proofErr w:type="gramEnd"/>
      <w:r>
        <w:rPr>
          <w:rFonts w:cs="Arial"/>
        </w:rPr>
        <w:t xml:space="preserve"> proposed projects in FY 22-23).  </w:t>
      </w:r>
    </w:p>
    <w:p w14:paraId="06214B76" w14:textId="77777777" w:rsidR="006F46BF" w:rsidRDefault="006F46BF"/>
    <w:sectPr w:rsidR="006F46BF">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DB3134" w14:textId="77777777" w:rsidR="008A093F" w:rsidRDefault="008A093F">
      <w:r>
        <w:separator/>
      </w:r>
    </w:p>
  </w:endnote>
  <w:endnote w:type="continuationSeparator" w:id="0">
    <w:p w14:paraId="2F38DC46" w14:textId="77777777" w:rsidR="008A093F" w:rsidRDefault="008A0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6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Look w:val="01E0" w:firstRow="1" w:lastRow="1" w:firstColumn="1" w:lastColumn="1" w:noHBand="0" w:noVBand="0"/>
    </w:tblPr>
    <w:tblGrid>
      <w:gridCol w:w="828"/>
      <w:gridCol w:w="7976"/>
      <w:gridCol w:w="772"/>
    </w:tblGrid>
    <w:tr w:rsidR="006F46BF" w14:paraId="526118F9" w14:textId="77777777">
      <w:trPr>
        <w:jc w:val="center"/>
      </w:trPr>
      <w:tc>
        <w:tcPr>
          <w:tcW w:w="828" w:type="dxa"/>
        </w:tcPr>
        <w:p w14:paraId="5E8E47D2" w14:textId="77777777" w:rsidR="006F46BF" w:rsidRDefault="006F46BF">
          <w:pPr>
            <w:pStyle w:val="Footer"/>
            <w:spacing w:after="0" w:line="240" w:lineRule="auto"/>
            <w:jc w:val="center"/>
          </w:pPr>
        </w:p>
      </w:tc>
      <w:tc>
        <w:tcPr>
          <w:tcW w:w="7976" w:type="dxa"/>
        </w:tcPr>
        <w:p w14:paraId="13663C87" w14:textId="77777777" w:rsidR="006F46BF" w:rsidRDefault="00000000">
          <w:pPr>
            <w:pStyle w:val="Footer"/>
            <w:spacing w:after="0" w:line="240" w:lineRule="auto"/>
            <w:jc w:val="center"/>
          </w:pPr>
          <w:r>
            <w:t>CAPER</w:t>
          </w:r>
        </w:p>
      </w:tc>
      <w:tc>
        <w:tcPr>
          <w:tcW w:w="772" w:type="dxa"/>
        </w:tcPr>
        <w:p w14:paraId="542CB679" w14:textId="77777777" w:rsidR="006F46BF" w:rsidRDefault="00000000">
          <w:pPr>
            <w:pStyle w:val="Footer"/>
            <w:spacing w:after="0" w:line="240" w:lineRule="auto"/>
            <w:jc w:val="right"/>
          </w:pPr>
          <w:r>
            <w:fldChar w:fldCharType="begin"/>
          </w:r>
          <w:r>
            <w:instrText>page</w:instrText>
          </w:r>
          <w:r>
            <w:fldChar w:fldCharType="separate"/>
          </w:r>
          <w:r>
            <w:t>1</w:t>
          </w:r>
          <w:r>
            <w:fldChar w:fldCharType="end"/>
          </w:r>
        </w:p>
      </w:tc>
    </w:tr>
  </w:tbl>
  <w:p w14:paraId="7207DA33" w14:textId="77777777" w:rsidR="006F46BF" w:rsidRDefault="00000000">
    <w:pPr>
      <w:pStyle w:val="Footer"/>
      <w:spacing w:before="120" w:after="0"/>
      <w:rPr>
        <w:rFonts w:asciiTheme="minorHAnsi" w:hAnsiTheme="minorHAnsi"/>
        <w:b/>
        <w:i/>
        <w:sz w:val="16"/>
      </w:rPr>
    </w:pPr>
    <w:r>
      <w:rPr>
        <w:rFonts w:asciiTheme="minorHAnsi" w:hAnsiTheme="minorHAnsi" w:cs="Arial"/>
        <w:color w:val="000000"/>
        <w:sz w:val="16"/>
      </w:rPr>
      <w:t>OMB Control No: 2506-0117 (exp. 09/30/2021)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002F01" w14:textId="77777777" w:rsidR="008A093F" w:rsidRDefault="008A093F">
      <w:r>
        <w:separator/>
      </w:r>
    </w:p>
  </w:footnote>
  <w:footnote w:type="continuationSeparator" w:id="0">
    <w:p w14:paraId="1845A2C6" w14:textId="77777777" w:rsidR="008A093F" w:rsidRDefault="008A09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3108E9C"/>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A3848782"/>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111CDC50"/>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6CECF734"/>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A8B8103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FECD4C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06E98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ACAE8C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3EC821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67F0FC4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2A6DC6"/>
    <w:multiLevelType w:val="hybridMultilevel"/>
    <w:tmpl w:val="203CEBDC"/>
    <w:lvl w:ilvl="0" w:tplc="04090013">
      <w:start w:val="1"/>
      <w:numFmt w:val="upperRoman"/>
      <w:lvlText w:val="%1."/>
      <w:lvlJc w:val="right"/>
      <w:pPr>
        <w:tabs>
          <w:tab w:val="num" w:pos="720"/>
        </w:tabs>
        <w:ind w:left="720" w:hanging="18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045B42A3"/>
    <w:multiLevelType w:val="hybridMultilevel"/>
    <w:tmpl w:val="FA82EE94"/>
    <w:lvl w:ilvl="0" w:tplc="04090013">
      <w:start w:val="1"/>
      <w:numFmt w:val="upperRoman"/>
      <w:lvlText w:val="%1."/>
      <w:lvlJc w:val="righ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519A3E8F"/>
    <w:multiLevelType w:val="hybridMultilevel"/>
    <w:tmpl w:val="7702014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3" w15:restartNumberingAfterBreak="0">
    <w:nsid w:val="58CE2ACE"/>
    <w:multiLevelType w:val="hybridMultilevel"/>
    <w:tmpl w:val="D780CAE8"/>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4" w15:restartNumberingAfterBreak="0">
    <w:nsid w:val="6D5C4484"/>
    <w:multiLevelType w:val="hybridMultilevel"/>
    <w:tmpl w:val="6506161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5" w15:restartNumberingAfterBreak="0">
    <w:nsid w:val="7CAD51AB"/>
    <w:multiLevelType w:val="hybridMultilevel"/>
    <w:tmpl w:val="242AB0BC"/>
    <w:lvl w:ilvl="0" w:tplc="0409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num w:numId="1" w16cid:durableId="346641535">
    <w:abstractNumId w:val="11"/>
  </w:num>
  <w:num w:numId="2" w16cid:durableId="664867583">
    <w:abstractNumId w:val="9"/>
  </w:num>
  <w:num w:numId="3" w16cid:durableId="1353871480">
    <w:abstractNumId w:val="7"/>
  </w:num>
  <w:num w:numId="4" w16cid:durableId="1702053028">
    <w:abstractNumId w:val="6"/>
  </w:num>
  <w:num w:numId="5" w16cid:durableId="365260338">
    <w:abstractNumId w:val="5"/>
  </w:num>
  <w:num w:numId="6" w16cid:durableId="1643384228">
    <w:abstractNumId w:val="4"/>
  </w:num>
  <w:num w:numId="7" w16cid:durableId="1193030723">
    <w:abstractNumId w:val="8"/>
  </w:num>
  <w:num w:numId="8" w16cid:durableId="280264619">
    <w:abstractNumId w:val="3"/>
  </w:num>
  <w:num w:numId="9" w16cid:durableId="523329047">
    <w:abstractNumId w:val="2"/>
  </w:num>
  <w:num w:numId="10" w16cid:durableId="1203329507">
    <w:abstractNumId w:val="1"/>
  </w:num>
  <w:num w:numId="11" w16cid:durableId="802311743">
    <w:abstractNumId w:val="0"/>
  </w:num>
  <w:num w:numId="12" w16cid:durableId="599795510">
    <w:abstractNumId w:val="10"/>
  </w:num>
  <w:num w:numId="13" w16cid:durableId="2098549038">
    <w:abstractNumId w:val="15"/>
  </w:num>
  <w:num w:numId="14" w16cid:durableId="78139695">
    <w:abstractNumId w:val="13"/>
  </w:num>
  <w:num w:numId="15" w16cid:durableId="1039402650">
    <w:abstractNumId w:val="12"/>
  </w:num>
  <w:num w:numId="16" w16cid:durableId="1630015601">
    <w:abstractNumId w:val="14"/>
  </w:num>
  <w:num w:numId="17" w16cid:durableId="1787381080">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550"/>
    <w:rsid w:val="00000EC6"/>
    <w:rsid w:val="00001671"/>
    <w:rsid w:val="0000299C"/>
    <w:rsid w:val="000035A3"/>
    <w:rsid w:val="00003E3A"/>
    <w:rsid w:val="00004F01"/>
    <w:rsid w:val="000055F1"/>
    <w:rsid w:val="00006999"/>
    <w:rsid w:val="00007A74"/>
    <w:rsid w:val="000101FE"/>
    <w:rsid w:val="000109A7"/>
    <w:rsid w:val="000116B2"/>
    <w:rsid w:val="00012E9D"/>
    <w:rsid w:val="00013481"/>
    <w:rsid w:val="000146AF"/>
    <w:rsid w:val="00014B5F"/>
    <w:rsid w:val="0001643E"/>
    <w:rsid w:val="0001694F"/>
    <w:rsid w:val="00017C8C"/>
    <w:rsid w:val="000202EB"/>
    <w:rsid w:val="000204C7"/>
    <w:rsid w:val="00022CF5"/>
    <w:rsid w:val="000237FC"/>
    <w:rsid w:val="000250A9"/>
    <w:rsid w:val="0002592E"/>
    <w:rsid w:val="00025951"/>
    <w:rsid w:val="00025DEC"/>
    <w:rsid w:val="00026149"/>
    <w:rsid w:val="00027899"/>
    <w:rsid w:val="00027FD4"/>
    <w:rsid w:val="00030C85"/>
    <w:rsid w:val="00031960"/>
    <w:rsid w:val="00032C1E"/>
    <w:rsid w:val="0003300B"/>
    <w:rsid w:val="0003316E"/>
    <w:rsid w:val="00033A35"/>
    <w:rsid w:val="0003459B"/>
    <w:rsid w:val="00035628"/>
    <w:rsid w:val="000357CA"/>
    <w:rsid w:val="00035F04"/>
    <w:rsid w:val="000365DA"/>
    <w:rsid w:val="00040E81"/>
    <w:rsid w:val="0004164B"/>
    <w:rsid w:val="00042C4D"/>
    <w:rsid w:val="0004355B"/>
    <w:rsid w:val="00043B67"/>
    <w:rsid w:val="00044565"/>
    <w:rsid w:val="00044EC9"/>
    <w:rsid w:val="00047DD2"/>
    <w:rsid w:val="00047E3E"/>
    <w:rsid w:val="0005057C"/>
    <w:rsid w:val="000518AA"/>
    <w:rsid w:val="00052543"/>
    <w:rsid w:val="0005399B"/>
    <w:rsid w:val="00053D85"/>
    <w:rsid w:val="00053E62"/>
    <w:rsid w:val="00054780"/>
    <w:rsid w:val="000549C7"/>
    <w:rsid w:val="00054D96"/>
    <w:rsid w:val="00056828"/>
    <w:rsid w:val="00057E29"/>
    <w:rsid w:val="00060CE4"/>
    <w:rsid w:val="00061845"/>
    <w:rsid w:val="00061B37"/>
    <w:rsid w:val="00061E41"/>
    <w:rsid w:val="000620FD"/>
    <w:rsid w:val="000623F4"/>
    <w:rsid w:val="00063F1C"/>
    <w:rsid w:val="00065D4E"/>
    <w:rsid w:val="000661A8"/>
    <w:rsid w:val="00066237"/>
    <w:rsid w:val="000670CF"/>
    <w:rsid w:val="00067FD4"/>
    <w:rsid w:val="00070633"/>
    <w:rsid w:val="00071C7C"/>
    <w:rsid w:val="00072C8A"/>
    <w:rsid w:val="00072F46"/>
    <w:rsid w:val="000734F6"/>
    <w:rsid w:val="00073E7A"/>
    <w:rsid w:val="00074919"/>
    <w:rsid w:val="00074DEF"/>
    <w:rsid w:val="0007533E"/>
    <w:rsid w:val="00075AB2"/>
    <w:rsid w:val="0007671E"/>
    <w:rsid w:val="00076CF5"/>
    <w:rsid w:val="00076D36"/>
    <w:rsid w:val="00077619"/>
    <w:rsid w:val="00077A7A"/>
    <w:rsid w:val="00077F16"/>
    <w:rsid w:val="00080209"/>
    <w:rsid w:val="0008068E"/>
    <w:rsid w:val="00080943"/>
    <w:rsid w:val="00080ECB"/>
    <w:rsid w:val="00080FA0"/>
    <w:rsid w:val="00081076"/>
    <w:rsid w:val="00081136"/>
    <w:rsid w:val="0008221D"/>
    <w:rsid w:val="0008229D"/>
    <w:rsid w:val="000825DF"/>
    <w:rsid w:val="0008289F"/>
    <w:rsid w:val="000831B8"/>
    <w:rsid w:val="000832B3"/>
    <w:rsid w:val="0008384E"/>
    <w:rsid w:val="00083B49"/>
    <w:rsid w:val="00083BEB"/>
    <w:rsid w:val="00084058"/>
    <w:rsid w:val="0008420F"/>
    <w:rsid w:val="00084385"/>
    <w:rsid w:val="00084E02"/>
    <w:rsid w:val="00085ECE"/>
    <w:rsid w:val="0008764E"/>
    <w:rsid w:val="00087BEC"/>
    <w:rsid w:val="00091139"/>
    <w:rsid w:val="000920F8"/>
    <w:rsid w:val="00092FA7"/>
    <w:rsid w:val="00093600"/>
    <w:rsid w:val="0009415B"/>
    <w:rsid w:val="0009419B"/>
    <w:rsid w:val="00094C65"/>
    <w:rsid w:val="00096632"/>
    <w:rsid w:val="00096BAB"/>
    <w:rsid w:val="00096FE3"/>
    <w:rsid w:val="000975D9"/>
    <w:rsid w:val="00097D73"/>
    <w:rsid w:val="000A22C7"/>
    <w:rsid w:val="000A3328"/>
    <w:rsid w:val="000A3869"/>
    <w:rsid w:val="000A3AF5"/>
    <w:rsid w:val="000A3DED"/>
    <w:rsid w:val="000A49C3"/>
    <w:rsid w:val="000A6604"/>
    <w:rsid w:val="000A7EAA"/>
    <w:rsid w:val="000A7EB6"/>
    <w:rsid w:val="000B0148"/>
    <w:rsid w:val="000B05D4"/>
    <w:rsid w:val="000B0735"/>
    <w:rsid w:val="000B1705"/>
    <w:rsid w:val="000B291F"/>
    <w:rsid w:val="000B3DD8"/>
    <w:rsid w:val="000B45BD"/>
    <w:rsid w:val="000B5D24"/>
    <w:rsid w:val="000B6036"/>
    <w:rsid w:val="000B6192"/>
    <w:rsid w:val="000B6842"/>
    <w:rsid w:val="000B7A3C"/>
    <w:rsid w:val="000C0752"/>
    <w:rsid w:val="000C0905"/>
    <w:rsid w:val="000C0B16"/>
    <w:rsid w:val="000C20FC"/>
    <w:rsid w:val="000C23F6"/>
    <w:rsid w:val="000C265E"/>
    <w:rsid w:val="000C3ACA"/>
    <w:rsid w:val="000C5AF9"/>
    <w:rsid w:val="000C666E"/>
    <w:rsid w:val="000C7403"/>
    <w:rsid w:val="000C74F3"/>
    <w:rsid w:val="000D01E0"/>
    <w:rsid w:val="000D14F6"/>
    <w:rsid w:val="000D1DC9"/>
    <w:rsid w:val="000D422A"/>
    <w:rsid w:val="000D488E"/>
    <w:rsid w:val="000D6A4D"/>
    <w:rsid w:val="000D6CFF"/>
    <w:rsid w:val="000D71A6"/>
    <w:rsid w:val="000D7D16"/>
    <w:rsid w:val="000E0343"/>
    <w:rsid w:val="000E0AAE"/>
    <w:rsid w:val="000E0D5D"/>
    <w:rsid w:val="000E13BA"/>
    <w:rsid w:val="000E1DFB"/>
    <w:rsid w:val="000E1F9B"/>
    <w:rsid w:val="000E2A69"/>
    <w:rsid w:val="000E2C4D"/>
    <w:rsid w:val="000E4A11"/>
    <w:rsid w:val="000E5032"/>
    <w:rsid w:val="000E53D6"/>
    <w:rsid w:val="000E5FBD"/>
    <w:rsid w:val="000E60F9"/>
    <w:rsid w:val="000E6121"/>
    <w:rsid w:val="000E640E"/>
    <w:rsid w:val="000E6B9A"/>
    <w:rsid w:val="000E6CB6"/>
    <w:rsid w:val="000F04AF"/>
    <w:rsid w:val="000F0F15"/>
    <w:rsid w:val="000F1426"/>
    <w:rsid w:val="000F21DE"/>
    <w:rsid w:val="000F503D"/>
    <w:rsid w:val="000F683C"/>
    <w:rsid w:val="000F6B53"/>
    <w:rsid w:val="001000D7"/>
    <w:rsid w:val="00101E3D"/>
    <w:rsid w:val="00102442"/>
    <w:rsid w:val="0010332E"/>
    <w:rsid w:val="00104032"/>
    <w:rsid w:val="0010487A"/>
    <w:rsid w:val="00106CAB"/>
    <w:rsid w:val="0010757C"/>
    <w:rsid w:val="001101BB"/>
    <w:rsid w:val="001105E4"/>
    <w:rsid w:val="00111DEA"/>
    <w:rsid w:val="00111F9F"/>
    <w:rsid w:val="001121F8"/>
    <w:rsid w:val="00112F30"/>
    <w:rsid w:val="0011341D"/>
    <w:rsid w:val="0011453E"/>
    <w:rsid w:val="00114CA6"/>
    <w:rsid w:val="00115066"/>
    <w:rsid w:val="00117AB9"/>
    <w:rsid w:val="00117CAF"/>
    <w:rsid w:val="00120904"/>
    <w:rsid w:val="00123B67"/>
    <w:rsid w:val="001244C5"/>
    <w:rsid w:val="00124E85"/>
    <w:rsid w:val="00125428"/>
    <w:rsid w:val="001256B0"/>
    <w:rsid w:val="00125FCA"/>
    <w:rsid w:val="00126022"/>
    <w:rsid w:val="001261A0"/>
    <w:rsid w:val="001274C4"/>
    <w:rsid w:val="00132B0C"/>
    <w:rsid w:val="00132CEA"/>
    <w:rsid w:val="00133EA4"/>
    <w:rsid w:val="00134B79"/>
    <w:rsid w:val="0013545A"/>
    <w:rsid w:val="00135B76"/>
    <w:rsid w:val="00135EA7"/>
    <w:rsid w:val="00136724"/>
    <w:rsid w:val="00137DF0"/>
    <w:rsid w:val="00141F8B"/>
    <w:rsid w:val="001426D3"/>
    <w:rsid w:val="001442FB"/>
    <w:rsid w:val="001452F7"/>
    <w:rsid w:val="0014572F"/>
    <w:rsid w:val="001460FB"/>
    <w:rsid w:val="00146B9A"/>
    <w:rsid w:val="0014790F"/>
    <w:rsid w:val="0015000D"/>
    <w:rsid w:val="00150082"/>
    <w:rsid w:val="001501DB"/>
    <w:rsid w:val="00150A50"/>
    <w:rsid w:val="00150B00"/>
    <w:rsid w:val="00151FDE"/>
    <w:rsid w:val="001539D4"/>
    <w:rsid w:val="0015548F"/>
    <w:rsid w:val="00156045"/>
    <w:rsid w:val="00156205"/>
    <w:rsid w:val="00157867"/>
    <w:rsid w:val="00157D8A"/>
    <w:rsid w:val="00157DD0"/>
    <w:rsid w:val="0016089C"/>
    <w:rsid w:val="00160AC1"/>
    <w:rsid w:val="00162077"/>
    <w:rsid w:val="0016267E"/>
    <w:rsid w:val="00162A99"/>
    <w:rsid w:val="00163BA8"/>
    <w:rsid w:val="00164969"/>
    <w:rsid w:val="001657BA"/>
    <w:rsid w:val="00165B3F"/>
    <w:rsid w:val="00166377"/>
    <w:rsid w:val="00166FC2"/>
    <w:rsid w:val="00167346"/>
    <w:rsid w:val="001703C2"/>
    <w:rsid w:val="001728FD"/>
    <w:rsid w:val="00172A41"/>
    <w:rsid w:val="00172D3C"/>
    <w:rsid w:val="00173660"/>
    <w:rsid w:val="0017391B"/>
    <w:rsid w:val="00173954"/>
    <w:rsid w:val="001748A8"/>
    <w:rsid w:val="00174E22"/>
    <w:rsid w:val="00174F62"/>
    <w:rsid w:val="00175A92"/>
    <w:rsid w:val="00176F2C"/>
    <w:rsid w:val="0017730C"/>
    <w:rsid w:val="00177DEF"/>
    <w:rsid w:val="00180218"/>
    <w:rsid w:val="00180753"/>
    <w:rsid w:val="00181247"/>
    <w:rsid w:val="00181253"/>
    <w:rsid w:val="00182552"/>
    <w:rsid w:val="00182A06"/>
    <w:rsid w:val="00183202"/>
    <w:rsid w:val="0018383F"/>
    <w:rsid w:val="0018415D"/>
    <w:rsid w:val="00184182"/>
    <w:rsid w:val="00184AE8"/>
    <w:rsid w:val="00184B4B"/>
    <w:rsid w:val="00184CFB"/>
    <w:rsid w:val="00184F71"/>
    <w:rsid w:val="00184F89"/>
    <w:rsid w:val="00186776"/>
    <w:rsid w:val="001876CD"/>
    <w:rsid w:val="00190078"/>
    <w:rsid w:val="00190429"/>
    <w:rsid w:val="00192527"/>
    <w:rsid w:val="00192E4D"/>
    <w:rsid w:val="00193AF0"/>
    <w:rsid w:val="0019437E"/>
    <w:rsid w:val="001949B1"/>
    <w:rsid w:val="00194CDA"/>
    <w:rsid w:val="00194DE6"/>
    <w:rsid w:val="001964F3"/>
    <w:rsid w:val="00197A7A"/>
    <w:rsid w:val="001A0074"/>
    <w:rsid w:val="001A0F7B"/>
    <w:rsid w:val="001A1131"/>
    <w:rsid w:val="001A226D"/>
    <w:rsid w:val="001A44BB"/>
    <w:rsid w:val="001A4F93"/>
    <w:rsid w:val="001A6644"/>
    <w:rsid w:val="001A6F81"/>
    <w:rsid w:val="001A7613"/>
    <w:rsid w:val="001A7F28"/>
    <w:rsid w:val="001B0BA7"/>
    <w:rsid w:val="001B177E"/>
    <w:rsid w:val="001B469C"/>
    <w:rsid w:val="001B5AF8"/>
    <w:rsid w:val="001B64F7"/>
    <w:rsid w:val="001B6520"/>
    <w:rsid w:val="001B6936"/>
    <w:rsid w:val="001B75E2"/>
    <w:rsid w:val="001B7DB9"/>
    <w:rsid w:val="001C1880"/>
    <w:rsid w:val="001C1B65"/>
    <w:rsid w:val="001C2492"/>
    <w:rsid w:val="001C2692"/>
    <w:rsid w:val="001C38E2"/>
    <w:rsid w:val="001C3C19"/>
    <w:rsid w:val="001C3E92"/>
    <w:rsid w:val="001C4867"/>
    <w:rsid w:val="001C4EAB"/>
    <w:rsid w:val="001C516A"/>
    <w:rsid w:val="001C61C3"/>
    <w:rsid w:val="001C696A"/>
    <w:rsid w:val="001C6CFF"/>
    <w:rsid w:val="001C79ED"/>
    <w:rsid w:val="001D0384"/>
    <w:rsid w:val="001D20E3"/>
    <w:rsid w:val="001D285F"/>
    <w:rsid w:val="001D3A7D"/>
    <w:rsid w:val="001D4366"/>
    <w:rsid w:val="001D5457"/>
    <w:rsid w:val="001D68CD"/>
    <w:rsid w:val="001D6AF5"/>
    <w:rsid w:val="001D6ECF"/>
    <w:rsid w:val="001D7832"/>
    <w:rsid w:val="001D78ED"/>
    <w:rsid w:val="001D79E2"/>
    <w:rsid w:val="001E1072"/>
    <w:rsid w:val="001E2322"/>
    <w:rsid w:val="001E325A"/>
    <w:rsid w:val="001E3EA8"/>
    <w:rsid w:val="001E47F6"/>
    <w:rsid w:val="001E4C5B"/>
    <w:rsid w:val="001E4D04"/>
    <w:rsid w:val="001E551F"/>
    <w:rsid w:val="001E61D5"/>
    <w:rsid w:val="001E6312"/>
    <w:rsid w:val="001E6E6E"/>
    <w:rsid w:val="001E763D"/>
    <w:rsid w:val="001E7D42"/>
    <w:rsid w:val="001F0B25"/>
    <w:rsid w:val="001F1BE7"/>
    <w:rsid w:val="001F2FC4"/>
    <w:rsid w:val="001F3C7D"/>
    <w:rsid w:val="001F3CB4"/>
    <w:rsid w:val="001F68DE"/>
    <w:rsid w:val="001F753C"/>
    <w:rsid w:val="002028BF"/>
    <w:rsid w:val="00203C89"/>
    <w:rsid w:val="00204041"/>
    <w:rsid w:val="00204CFE"/>
    <w:rsid w:val="00204E13"/>
    <w:rsid w:val="00205644"/>
    <w:rsid w:val="00205CCE"/>
    <w:rsid w:val="00207A05"/>
    <w:rsid w:val="00210BE4"/>
    <w:rsid w:val="002111DD"/>
    <w:rsid w:val="002116BD"/>
    <w:rsid w:val="00212E96"/>
    <w:rsid w:val="002137A1"/>
    <w:rsid w:val="00214170"/>
    <w:rsid w:val="002150FE"/>
    <w:rsid w:val="00215FFC"/>
    <w:rsid w:val="00216A02"/>
    <w:rsid w:val="00216DD3"/>
    <w:rsid w:val="00217523"/>
    <w:rsid w:val="0021781D"/>
    <w:rsid w:val="00217B66"/>
    <w:rsid w:val="00217EA0"/>
    <w:rsid w:val="00220C8E"/>
    <w:rsid w:val="002211EC"/>
    <w:rsid w:val="00221262"/>
    <w:rsid w:val="00221D81"/>
    <w:rsid w:val="00224031"/>
    <w:rsid w:val="00224741"/>
    <w:rsid w:val="002248BD"/>
    <w:rsid w:val="00224CD2"/>
    <w:rsid w:val="002266F1"/>
    <w:rsid w:val="002267F1"/>
    <w:rsid w:val="00226B59"/>
    <w:rsid w:val="00230EF6"/>
    <w:rsid w:val="002311BD"/>
    <w:rsid w:val="002323D0"/>
    <w:rsid w:val="0023315D"/>
    <w:rsid w:val="00233524"/>
    <w:rsid w:val="00233736"/>
    <w:rsid w:val="00233956"/>
    <w:rsid w:val="002346CD"/>
    <w:rsid w:val="00236F35"/>
    <w:rsid w:val="00236F9D"/>
    <w:rsid w:val="002375B4"/>
    <w:rsid w:val="00240369"/>
    <w:rsid w:val="00240AEF"/>
    <w:rsid w:val="0024397D"/>
    <w:rsid w:val="00243BB2"/>
    <w:rsid w:val="0024409B"/>
    <w:rsid w:val="00244529"/>
    <w:rsid w:val="00244EDB"/>
    <w:rsid w:val="0024534C"/>
    <w:rsid w:val="00245AEC"/>
    <w:rsid w:val="00247E65"/>
    <w:rsid w:val="0025080C"/>
    <w:rsid w:val="0025207C"/>
    <w:rsid w:val="00254774"/>
    <w:rsid w:val="0025577D"/>
    <w:rsid w:val="00255CB4"/>
    <w:rsid w:val="0025607E"/>
    <w:rsid w:val="00256481"/>
    <w:rsid w:val="002564B0"/>
    <w:rsid w:val="00257643"/>
    <w:rsid w:val="00260080"/>
    <w:rsid w:val="00260770"/>
    <w:rsid w:val="00260E1E"/>
    <w:rsid w:val="00260F6E"/>
    <w:rsid w:val="00261EA3"/>
    <w:rsid w:val="00262D53"/>
    <w:rsid w:val="00263CA8"/>
    <w:rsid w:val="002643F3"/>
    <w:rsid w:val="0026448F"/>
    <w:rsid w:val="002660BC"/>
    <w:rsid w:val="00267042"/>
    <w:rsid w:val="00267FE2"/>
    <w:rsid w:val="0027020F"/>
    <w:rsid w:val="002707F7"/>
    <w:rsid w:val="00270B46"/>
    <w:rsid w:val="00270E66"/>
    <w:rsid w:val="002721FA"/>
    <w:rsid w:val="00272758"/>
    <w:rsid w:val="00272E1D"/>
    <w:rsid w:val="00275F5E"/>
    <w:rsid w:val="00276096"/>
    <w:rsid w:val="002764CB"/>
    <w:rsid w:val="0027673E"/>
    <w:rsid w:val="00277A52"/>
    <w:rsid w:val="00277D0B"/>
    <w:rsid w:val="0028052A"/>
    <w:rsid w:val="002805C4"/>
    <w:rsid w:val="00283CA8"/>
    <w:rsid w:val="002845D3"/>
    <w:rsid w:val="00284AD9"/>
    <w:rsid w:val="00284E5C"/>
    <w:rsid w:val="00285752"/>
    <w:rsid w:val="0028792C"/>
    <w:rsid w:val="002879F1"/>
    <w:rsid w:val="002905D8"/>
    <w:rsid w:val="00290DB9"/>
    <w:rsid w:val="00291155"/>
    <w:rsid w:val="00291F7B"/>
    <w:rsid w:val="00292ECE"/>
    <w:rsid w:val="002940C6"/>
    <w:rsid w:val="00294B1B"/>
    <w:rsid w:val="00294CA9"/>
    <w:rsid w:val="00295998"/>
    <w:rsid w:val="002969C3"/>
    <w:rsid w:val="00297030"/>
    <w:rsid w:val="002A1320"/>
    <w:rsid w:val="002A19C0"/>
    <w:rsid w:val="002A2068"/>
    <w:rsid w:val="002A206F"/>
    <w:rsid w:val="002A2980"/>
    <w:rsid w:val="002A33F3"/>
    <w:rsid w:val="002A4896"/>
    <w:rsid w:val="002A49B8"/>
    <w:rsid w:val="002A4D9A"/>
    <w:rsid w:val="002A4E8C"/>
    <w:rsid w:val="002A5179"/>
    <w:rsid w:val="002A57D8"/>
    <w:rsid w:val="002A5D07"/>
    <w:rsid w:val="002A7146"/>
    <w:rsid w:val="002B260A"/>
    <w:rsid w:val="002B57CF"/>
    <w:rsid w:val="002B67A3"/>
    <w:rsid w:val="002C12CE"/>
    <w:rsid w:val="002C155C"/>
    <w:rsid w:val="002C2FAB"/>
    <w:rsid w:val="002C3395"/>
    <w:rsid w:val="002C4269"/>
    <w:rsid w:val="002C451D"/>
    <w:rsid w:val="002C547E"/>
    <w:rsid w:val="002C55DF"/>
    <w:rsid w:val="002C5F73"/>
    <w:rsid w:val="002C7DA5"/>
    <w:rsid w:val="002D3381"/>
    <w:rsid w:val="002D34A9"/>
    <w:rsid w:val="002D45E4"/>
    <w:rsid w:val="002D478C"/>
    <w:rsid w:val="002D5755"/>
    <w:rsid w:val="002D6121"/>
    <w:rsid w:val="002D71DF"/>
    <w:rsid w:val="002D72DF"/>
    <w:rsid w:val="002E04EA"/>
    <w:rsid w:val="002E0765"/>
    <w:rsid w:val="002E2948"/>
    <w:rsid w:val="002E373E"/>
    <w:rsid w:val="002E5E11"/>
    <w:rsid w:val="002E7287"/>
    <w:rsid w:val="002F00E3"/>
    <w:rsid w:val="002F0A95"/>
    <w:rsid w:val="002F13AD"/>
    <w:rsid w:val="002F1FFB"/>
    <w:rsid w:val="002F2A9F"/>
    <w:rsid w:val="002F3E66"/>
    <w:rsid w:val="002F4183"/>
    <w:rsid w:val="002F475D"/>
    <w:rsid w:val="002F5272"/>
    <w:rsid w:val="002F664F"/>
    <w:rsid w:val="002F7A63"/>
    <w:rsid w:val="003003C0"/>
    <w:rsid w:val="0030068B"/>
    <w:rsid w:val="00300855"/>
    <w:rsid w:val="00302737"/>
    <w:rsid w:val="00302A61"/>
    <w:rsid w:val="003045D1"/>
    <w:rsid w:val="003045F6"/>
    <w:rsid w:val="00304D73"/>
    <w:rsid w:val="00305182"/>
    <w:rsid w:val="003056D6"/>
    <w:rsid w:val="0030598B"/>
    <w:rsid w:val="0030672D"/>
    <w:rsid w:val="00306E0A"/>
    <w:rsid w:val="00306F39"/>
    <w:rsid w:val="00307CCF"/>
    <w:rsid w:val="00311270"/>
    <w:rsid w:val="003113E0"/>
    <w:rsid w:val="003118D7"/>
    <w:rsid w:val="00312833"/>
    <w:rsid w:val="00312C1B"/>
    <w:rsid w:val="003138AA"/>
    <w:rsid w:val="00313917"/>
    <w:rsid w:val="00314B0B"/>
    <w:rsid w:val="003156F5"/>
    <w:rsid w:val="00316098"/>
    <w:rsid w:val="00316631"/>
    <w:rsid w:val="00316EE5"/>
    <w:rsid w:val="00320E49"/>
    <w:rsid w:val="003214A9"/>
    <w:rsid w:val="00321A46"/>
    <w:rsid w:val="00322F17"/>
    <w:rsid w:val="0032477D"/>
    <w:rsid w:val="003257E9"/>
    <w:rsid w:val="003262D2"/>
    <w:rsid w:val="00327329"/>
    <w:rsid w:val="00327477"/>
    <w:rsid w:val="00327499"/>
    <w:rsid w:val="00327DDD"/>
    <w:rsid w:val="0033058A"/>
    <w:rsid w:val="0033064E"/>
    <w:rsid w:val="00330AC7"/>
    <w:rsid w:val="003316A0"/>
    <w:rsid w:val="0033187D"/>
    <w:rsid w:val="0033195A"/>
    <w:rsid w:val="00332A82"/>
    <w:rsid w:val="00334122"/>
    <w:rsid w:val="00334913"/>
    <w:rsid w:val="003350EA"/>
    <w:rsid w:val="00335120"/>
    <w:rsid w:val="003371DB"/>
    <w:rsid w:val="00337C8A"/>
    <w:rsid w:val="003404B4"/>
    <w:rsid w:val="0034130D"/>
    <w:rsid w:val="0034133C"/>
    <w:rsid w:val="003416A3"/>
    <w:rsid w:val="00341BA7"/>
    <w:rsid w:val="00342143"/>
    <w:rsid w:val="00342F57"/>
    <w:rsid w:val="00343DFD"/>
    <w:rsid w:val="0034477A"/>
    <w:rsid w:val="00344D4F"/>
    <w:rsid w:val="0034596B"/>
    <w:rsid w:val="00346C40"/>
    <w:rsid w:val="00347C60"/>
    <w:rsid w:val="00350450"/>
    <w:rsid w:val="003504FE"/>
    <w:rsid w:val="00350A6A"/>
    <w:rsid w:val="003518E2"/>
    <w:rsid w:val="00351DF3"/>
    <w:rsid w:val="003521B8"/>
    <w:rsid w:val="00352316"/>
    <w:rsid w:val="00352E8A"/>
    <w:rsid w:val="0035324B"/>
    <w:rsid w:val="003543C9"/>
    <w:rsid w:val="00354514"/>
    <w:rsid w:val="003550DA"/>
    <w:rsid w:val="003558E7"/>
    <w:rsid w:val="00355E11"/>
    <w:rsid w:val="00357C5C"/>
    <w:rsid w:val="00361CC3"/>
    <w:rsid w:val="00362941"/>
    <w:rsid w:val="00362ACB"/>
    <w:rsid w:val="00362BC6"/>
    <w:rsid w:val="00362BEC"/>
    <w:rsid w:val="003636A4"/>
    <w:rsid w:val="00365CE8"/>
    <w:rsid w:val="00367870"/>
    <w:rsid w:val="00370741"/>
    <w:rsid w:val="0037146A"/>
    <w:rsid w:val="0037176A"/>
    <w:rsid w:val="00371907"/>
    <w:rsid w:val="00375479"/>
    <w:rsid w:val="0037664B"/>
    <w:rsid w:val="0037754F"/>
    <w:rsid w:val="00377ACE"/>
    <w:rsid w:val="00380C4B"/>
    <w:rsid w:val="003814EF"/>
    <w:rsid w:val="00383267"/>
    <w:rsid w:val="003837F6"/>
    <w:rsid w:val="00383DA8"/>
    <w:rsid w:val="00384469"/>
    <w:rsid w:val="0038596A"/>
    <w:rsid w:val="003916D4"/>
    <w:rsid w:val="003923B5"/>
    <w:rsid w:val="00392557"/>
    <w:rsid w:val="00392D92"/>
    <w:rsid w:val="00393270"/>
    <w:rsid w:val="0039344B"/>
    <w:rsid w:val="00393D1A"/>
    <w:rsid w:val="00394D6A"/>
    <w:rsid w:val="00394F4A"/>
    <w:rsid w:val="003958CF"/>
    <w:rsid w:val="00396613"/>
    <w:rsid w:val="00396711"/>
    <w:rsid w:val="003A05A0"/>
    <w:rsid w:val="003A05C5"/>
    <w:rsid w:val="003A0B07"/>
    <w:rsid w:val="003A13CA"/>
    <w:rsid w:val="003A17FF"/>
    <w:rsid w:val="003A1AEA"/>
    <w:rsid w:val="003A1F5A"/>
    <w:rsid w:val="003A231A"/>
    <w:rsid w:val="003A29AD"/>
    <w:rsid w:val="003A2CC8"/>
    <w:rsid w:val="003A3022"/>
    <w:rsid w:val="003A3587"/>
    <w:rsid w:val="003A35A7"/>
    <w:rsid w:val="003A3BED"/>
    <w:rsid w:val="003A3DFE"/>
    <w:rsid w:val="003A415B"/>
    <w:rsid w:val="003A4A22"/>
    <w:rsid w:val="003A4B51"/>
    <w:rsid w:val="003A5721"/>
    <w:rsid w:val="003A5AF1"/>
    <w:rsid w:val="003A5B2A"/>
    <w:rsid w:val="003A683D"/>
    <w:rsid w:val="003B2C69"/>
    <w:rsid w:val="003B2D3A"/>
    <w:rsid w:val="003B441D"/>
    <w:rsid w:val="003B47FF"/>
    <w:rsid w:val="003B5B43"/>
    <w:rsid w:val="003B60D4"/>
    <w:rsid w:val="003B66A4"/>
    <w:rsid w:val="003B7C61"/>
    <w:rsid w:val="003C0A70"/>
    <w:rsid w:val="003C0F81"/>
    <w:rsid w:val="003C0FDC"/>
    <w:rsid w:val="003C1628"/>
    <w:rsid w:val="003C2B1B"/>
    <w:rsid w:val="003C43EF"/>
    <w:rsid w:val="003C4495"/>
    <w:rsid w:val="003C464D"/>
    <w:rsid w:val="003C4B53"/>
    <w:rsid w:val="003C4FF3"/>
    <w:rsid w:val="003D0406"/>
    <w:rsid w:val="003D20C4"/>
    <w:rsid w:val="003D2E4C"/>
    <w:rsid w:val="003D3487"/>
    <w:rsid w:val="003D4133"/>
    <w:rsid w:val="003D4D5B"/>
    <w:rsid w:val="003D4F68"/>
    <w:rsid w:val="003D68A3"/>
    <w:rsid w:val="003D72A1"/>
    <w:rsid w:val="003D76CD"/>
    <w:rsid w:val="003D7A9E"/>
    <w:rsid w:val="003E0F35"/>
    <w:rsid w:val="003E14A9"/>
    <w:rsid w:val="003E1C0A"/>
    <w:rsid w:val="003E22CB"/>
    <w:rsid w:val="003E258F"/>
    <w:rsid w:val="003E3AF4"/>
    <w:rsid w:val="003E3D8A"/>
    <w:rsid w:val="003E3F93"/>
    <w:rsid w:val="003E432A"/>
    <w:rsid w:val="003E44AF"/>
    <w:rsid w:val="003E4568"/>
    <w:rsid w:val="003E54B7"/>
    <w:rsid w:val="003E5FA0"/>
    <w:rsid w:val="003E60F8"/>
    <w:rsid w:val="003E740C"/>
    <w:rsid w:val="003F0F13"/>
    <w:rsid w:val="003F215B"/>
    <w:rsid w:val="003F40BA"/>
    <w:rsid w:val="003F5F7A"/>
    <w:rsid w:val="003F60B5"/>
    <w:rsid w:val="003F6FC9"/>
    <w:rsid w:val="004000E2"/>
    <w:rsid w:val="00400274"/>
    <w:rsid w:val="00400B9A"/>
    <w:rsid w:val="004027AD"/>
    <w:rsid w:val="00403758"/>
    <w:rsid w:val="00403D51"/>
    <w:rsid w:val="00404530"/>
    <w:rsid w:val="00404C37"/>
    <w:rsid w:val="004058BD"/>
    <w:rsid w:val="0040597B"/>
    <w:rsid w:val="0040778D"/>
    <w:rsid w:val="00410A65"/>
    <w:rsid w:val="00413518"/>
    <w:rsid w:val="0041369A"/>
    <w:rsid w:val="0041480C"/>
    <w:rsid w:val="00415254"/>
    <w:rsid w:val="0041625C"/>
    <w:rsid w:val="00416FB6"/>
    <w:rsid w:val="00417339"/>
    <w:rsid w:val="0041739E"/>
    <w:rsid w:val="0041783B"/>
    <w:rsid w:val="004223A6"/>
    <w:rsid w:val="0042286B"/>
    <w:rsid w:val="00424A45"/>
    <w:rsid w:val="004259F8"/>
    <w:rsid w:val="00427BEE"/>
    <w:rsid w:val="0043271A"/>
    <w:rsid w:val="00432796"/>
    <w:rsid w:val="00432EB4"/>
    <w:rsid w:val="00432F29"/>
    <w:rsid w:val="00434057"/>
    <w:rsid w:val="004349D6"/>
    <w:rsid w:val="00435096"/>
    <w:rsid w:val="00435179"/>
    <w:rsid w:val="00435A3B"/>
    <w:rsid w:val="00437EC9"/>
    <w:rsid w:val="0044241B"/>
    <w:rsid w:val="00442439"/>
    <w:rsid w:val="0044261D"/>
    <w:rsid w:val="00443A29"/>
    <w:rsid w:val="00443EE4"/>
    <w:rsid w:val="00444190"/>
    <w:rsid w:val="00444616"/>
    <w:rsid w:val="0044477A"/>
    <w:rsid w:val="004448CA"/>
    <w:rsid w:val="004468BC"/>
    <w:rsid w:val="00447517"/>
    <w:rsid w:val="00450760"/>
    <w:rsid w:val="00450FE7"/>
    <w:rsid w:val="00451AA9"/>
    <w:rsid w:val="00451C8B"/>
    <w:rsid w:val="00452EC7"/>
    <w:rsid w:val="00453175"/>
    <w:rsid w:val="00453780"/>
    <w:rsid w:val="0045398A"/>
    <w:rsid w:val="00453AC7"/>
    <w:rsid w:val="00455495"/>
    <w:rsid w:val="00455FD2"/>
    <w:rsid w:val="0045736A"/>
    <w:rsid w:val="00460DF1"/>
    <w:rsid w:val="00461BB7"/>
    <w:rsid w:val="00463CA5"/>
    <w:rsid w:val="00464469"/>
    <w:rsid w:val="00465117"/>
    <w:rsid w:val="0046519F"/>
    <w:rsid w:val="00465236"/>
    <w:rsid w:val="004657FC"/>
    <w:rsid w:val="004665B7"/>
    <w:rsid w:val="0046678C"/>
    <w:rsid w:val="0046760B"/>
    <w:rsid w:val="004702B9"/>
    <w:rsid w:val="00470BB5"/>
    <w:rsid w:val="004718FE"/>
    <w:rsid w:val="00471F93"/>
    <w:rsid w:val="00472F5C"/>
    <w:rsid w:val="00473A67"/>
    <w:rsid w:val="00474956"/>
    <w:rsid w:val="00474B58"/>
    <w:rsid w:val="00474C83"/>
    <w:rsid w:val="00476421"/>
    <w:rsid w:val="00480DA8"/>
    <w:rsid w:val="004829FE"/>
    <w:rsid w:val="00483130"/>
    <w:rsid w:val="00483625"/>
    <w:rsid w:val="004845FB"/>
    <w:rsid w:val="004854F8"/>
    <w:rsid w:val="0048572B"/>
    <w:rsid w:val="004871B3"/>
    <w:rsid w:val="00487807"/>
    <w:rsid w:val="00487944"/>
    <w:rsid w:val="00490153"/>
    <w:rsid w:val="00491266"/>
    <w:rsid w:val="004914A6"/>
    <w:rsid w:val="00491EC7"/>
    <w:rsid w:val="00492522"/>
    <w:rsid w:val="00492CAF"/>
    <w:rsid w:val="00494561"/>
    <w:rsid w:val="00495006"/>
    <w:rsid w:val="00495A25"/>
    <w:rsid w:val="00495D87"/>
    <w:rsid w:val="00495F6A"/>
    <w:rsid w:val="004963D7"/>
    <w:rsid w:val="00496E0E"/>
    <w:rsid w:val="004978B8"/>
    <w:rsid w:val="004A07BF"/>
    <w:rsid w:val="004A1723"/>
    <w:rsid w:val="004A1D57"/>
    <w:rsid w:val="004A2462"/>
    <w:rsid w:val="004A2A46"/>
    <w:rsid w:val="004A5050"/>
    <w:rsid w:val="004A51EB"/>
    <w:rsid w:val="004A61B9"/>
    <w:rsid w:val="004A6DB8"/>
    <w:rsid w:val="004A7384"/>
    <w:rsid w:val="004A7843"/>
    <w:rsid w:val="004A7D24"/>
    <w:rsid w:val="004A7DCF"/>
    <w:rsid w:val="004B0C5D"/>
    <w:rsid w:val="004B1084"/>
    <w:rsid w:val="004B23A5"/>
    <w:rsid w:val="004B247B"/>
    <w:rsid w:val="004B35BC"/>
    <w:rsid w:val="004B3E8D"/>
    <w:rsid w:val="004B3FD6"/>
    <w:rsid w:val="004B50AE"/>
    <w:rsid w:val="004B5691"/>
    <w:rsid w:val="004B757F"/>
    <w:rsid w:val="004C0183"/>
    <w:rsid w:val="004C0761"/>
    <w:rsid w:val="004C125A"/>
    <w:rsid w:val="004C1830"/>
    <w:rsid w:val="004C23A2"/>
    <w:rsid w:val="004C2625"/>
    <w:rsid w:val="004C280F"/>
    <w:rsid w:val="004C3628"/>
    <w:rsid w:val="004C468D"/>
    <w:rsid w:val="004C554B"/>
    <w:rsid w:val="004C5CFA"/>
    <w:rsid w:val="004C753E"/>
    <w:rsid w:val="004C7780"/>
    <w:rsid w:val="004C7E89"/>
    <w:rsid w:val="004D06F3"/>
    <w:rsid w:val="004D17F4"/>
    <w:rsid w:val="004D3AE0"/>
    <w:rsid w:val="004D5110"/>
    <w:rsid w:val="004D52DA"/>
    <w:rsid w:val="004D69FB"/>
    <w:rsid w:val="004E06E9"/>
    <w:rsid w:val="004E0FAB"/>
    <w:rsid w:val="004E2908"/>
    <w:rsid w:val="004E2C11"/>
    <w:rsid w:val="004E2E25"/>
    <w:rsid w:val="004E5ADD"/>
    <w:rsid w:val="004E78FE"/>
    <w:rsid w:val="004E7D05"/>
    <w:rsid w:val="004F07E5"/>
    <w:rsid w:val="004F0D4F"/>
    <w:rsid w:val="004F0F57"/>
    <w:rsid w:val="004F2470"/>
    <w:rsid w:val="004F2C10"/>
    <w:rsid w:val="004F2D29"/>
    <w:rsid w:val="004F38B8"/>
    <w:rsid w:val="004F3C75"/>
    <w:rsid w:val="004F5BD1"/>
    <w:rsid w:val="004F5EFD"/>
    <w:rsid w:val="004F680F"/>
    <w:rsid w:val="004F7A38"/>
    <w:rsid w:val="0050137C"/>
    <w:rsid w:val="00502117"/>
    <w:rsid w:val="005038F5"/>
    <w:rsid w:val="00503E6D"/>
    <w:rsid w:val="00503EE0"/>
    <w:rsid w:val="00504EE0"/>
    <w:rsid w:val="0050535B"/>
    <w:rsid w:val="00505EB1"/>
    <w:rsid w:val="00506046"/>
    <w:rsid w:val="005061E3"/>
    <w:rsid w:val="005074B6"/>
    <w:rsid w:val="00510478"/>
    <w:rsid w:val="005104BB"/>
    <w:rsid w:val="00511841"/>
    <w:rsid w:val="00511A6D"/>
    <w:rsid w:val="00512153"/>
    <w:rsid w:val="00514468"/>
    <w:rsid w:val="00514DDE"/>
    <w:rsid w:val="00515ECB"/>
    <w:rsid w:val="00520331"/>
    <w:rsid w:val="00521B6A"/>
    <w:rsid w:val="0052234D"/>
    <w:rsid w:val="00522EE4"/>
    <w:rsid w:val="005231CD"/>
    <w:rsid w:val="00523217"/>
    <w:rsid w:val="00524632"/>
    <w:rsid w:val="0052542B"/>
    <w:rsid w:val="00525B92"/>
    <w:rsid w:val="00526159"/>
    <w:rsid w:val="00526D6D"/>
    <w:rsid w:val="00527000"/>
    <w:rsid w:val="00527D19"/>
    <w:rsid w:val="00530312"/>
    <w:rsid w:val="00530783"/>
    <w:rsid w:val="00531B6D"/>
    <w:rsid w:val="005341A3"/>
    <w:rsid w:val="00534D2C"/>
    <w:rsid w:val="00534D81"/>
    <w:rsid w:val="00536B89"/>
    <w:rsid w:val="00536CE1"/>
    <w:rsid w:val="00537533"/>
    <w:rsid w:val="005401AF"/>
    <w:rsid w:val="00540486"/>
    <w:rsid w:val="00540586"/>
    <w:rsid w:val="005417CD"/>
    <w:rsid w:val="00541E39"/>
    <w:rsid w:val="00542D7E"/>
    <w:rsid w:val="00543389"/>
    <w:rsid w:val="005438C6"/>
    <w:rsid w:val="00543C52"/>
    <w:rsid w:val="0054621E"/>
    <w:rsid w:val="00551421"/>
    <w:rsid w:val="00552A9C"/>
    <w:rsid w:val="005535E3"/>
    <w:rsid w:val="00554930"/>
    <w:rsid w:val="00554CC3"/>
    <w:rsid w:val="005552B5"/>
    <w:rsid w:val="00556658"/>
    <w:rsid w:val="00556A53"/>
    <w:rsid w:val="0055774F"/>
    <w:rsid w:val="005578DD"/>
    <w:rsid w:val="00557BF4"/>
    <w:rsid w:val="005607C4"/>
    <w:rsid w:val="00560DD5"/>
    <w:rsid w:val="00562454"/>
    <w:rsid w:val="0056434A"/>
    <w:rsid w:val="005658E2"/>
    <w:rsid w:val="005660B4"/>
    <w:rsid w:val="0056695E"/>
    <w:rsid w:val="00566C96"/>
    <w:rsid w:val="00567818"/>
    <w:rsid w:val="00570790"/>
    <w:rsid w:val="00571641"/>
    <w:rsid w:val="005720BF"/>
    <w:rsid w:val="00572D29"/>
    <w:rsid w:val="00572D3B"/>
    <w:rsid w:val="00572D8A"/>
    <w:rsid w:val="00572E71"/>
    <w:rsid w:val="005736E3"/>
    <w:rsid w:val="00575829"/>
    <w:rsid w:val="00575E1B"/>
    <w:rsid w:val="00576C00"/>
    <w:rsid w:val="00580275"/>
    <w:rsid w:val="005803CD"/>
    <w:rsid w:val="00580B63"/>
    <w:rsid w:val="005816FC"/>
    <w:rsid w:val="00581869"/>
    <w:rsid w:val="005838F8"/>
    <w:rsid w:val="00583B84"/>
    <w:rsid w:val="00583D2D"/>
    <w:rsid w:val="0058430F"/>
    <w:rsid w:val="00584916"/>
    <w:rsid w:val="00584C2C"/>
    <w:rsid w:val="00584FE1"/>
    <w:rsid w:val="005856C6"/>
    <w:rsid w:val="005861B6"/>
    <w:rsid w:val="00586608"/>
    <w:rsid w:val="00587626"/>
    <w:rsid w:val="00587CD5"/>
    <w:rsid w:val="00590360"/>
    <w:rsid w:val="00591721"/>
    <w:rsid w:val="00592064"/>
    <w:rsid w:val="00593262"/>
    <w:rsid w:val="0059365D"/>
    <w:rsid w:val="005943CB"/>
    <w:rsid w:val="00594456"/>
    <w:rsid w:val="00594CB1"/>
    <w:rsid w:val="00594D9A"/>
    <w:rsid w:val="00595261"/>
    <w:rsid w:val="005967C6"/>
    <w:rsid w:val="00596C14"/>
    <w:rsid w:val="005A031D"/>
    <w:rsid w:val="005A06D4"/>
    <w:rsid w:val="005A0EB6"/>
    <w:rsid w:val="005A0EE0"/>
    <w:rsid w:val="005A160A"/>
    <w:rsid w:val="005A1836"/>
    <w:rsid w:val="005A185B"/>
    <w:rsid w:val="005A2798"/>
    <w:rsid w:val="005A3617"/>
    <w:rsid w:val="005A384F"/>
    <w:rsid w:val="005A56A4"/>
    <w:rsid w:val="005A6341"/>
    <w:rsid w:val="005A6511"/>
    <w:rsid w:val="005A69FA"/>
    <w:rsid w:val="005A6EB7"/>
    <w:rsid w:val="005A7196"/>
    <w:rsid w:val="005A7B5B"/>
    <w:rsid w:val="005B0DB3"/>
    <w:rsid w:val="005B1537"/>
    <w:rsid w:val="005B3518"/>
    <w:rsid w:val="005B41CA"/>
    <w:rsid w:val="005B71FB"/>
    <w:rsid w:val="005B7D49"/>
    <w:rsid w:val="005C1A32"/>
    <w:rsid w:val="005C1B2E"/>
    <w:rsid w:val="005C2650"/>
    <w:rsid w:val="005C2DDC"/>
    <w:rsid w:val="005C52A4"/>
    <w:rsid w:val="005C669F"/>
    <w:rsid w:val="005C6D04"/>
    <w:rsid w:val="005C7953"/>
    <w:rsid w:val="005D0D3F"/>
    <w:rsid w:val="005D0FEB"/>
    <w:rsid w:val="005D112C"/>
    <w:rsid w:val="005D1834"/>
    <w:rsid w:val="005D259B"/>
    <w:rsid w:val="005D28B7"/>
    <w:rsid w:val="005D52FB"/>
    <w:rsid w:val="005D53B6"/>
    <w:rsid w:val="005D6411"/>
    <w:rsid w:val="005D6D7E"/>
    <w:rsid w:val="005D725E"/>
    <w:rsid w:val="005E1EE9"/>
    <w:rsid w:val="005E2645"/>
    <w:rsid w:val="005E3318"/>
    <w:rsid w:val="005E4A61"/>
    <w:rsid w:val="005E53B1"/>
    <w:rsid w:val="005E5820"/>
    <w:rsid w:val="005E624A"/>
    <w:rsid w:val="005E6622"/>
    <w:rsid w:val="005E737E"/>
    <w:rsid w:val="005E7F95"/>
    <w:rsid w:val="005F1099"/>
    <w:rsid w:val="005F13D3"/>
    <w:rsid w:val="005F1DA2"/>
    <w:rsid w:val="005F2908"/>
    <w:rsid w:val="005F324E"/>
    <w:rsid w:val="005F416C"/>
    <w:rsid w:val="005F4B6C"/>
    <w:rsid w:val="005F4E97"/>
    <w:rsid w:val="005F549F"/>
    <w:rsid w:val="005F6C30"/>
    <w:rsid w:val="005F6F31"/>
    <w:rsid w:val="005F7073"/>
    <w:rsid w:val="005F72BF"/>
    <w:rsid w:val="005F7D60"/>
    <w:rsid w:val="00600D15"/>
    <w:rsid w:val="0060158B"/>
    <w:rsid w:val="00601936"/>
    <w:rsid w:val="00601C4F"/>
    <w:rsid w:val="00601E1D"/>
    <w:rsid w:val="0060228B"/>
    <w:rsid w:val="0060236A"/>
    <w:rsid w:val="00603561"/>
    <w:rsid w:val="00604858"/>
    <w:rsid w:val="006050EE"/>
    <w:rsid w:val="006051A3"/>
    <w:rsid w:val="006053DE"/>
    <w:rsid w:val="00605533"/>
    <w:rsid w:val="00605D9E"/>
    <w:rsid w:val="0060618D"/>
    <w:rsid w:val="00611099"/>
    <w:rsid w:val="00612499"/>
    <w:rsid w:val="0061254A"/>
    <w:rsid w:val="00612D8D"/>
    <w:rsid w:val="00614694"/>
    <w:rsid w:val="00614724"/>
    <w:rsid w:val="0061511E"/>
    <w:rsid w:val="0061554A"/>
    <w:rsid w:val="00615EB2"/>
    <w:rsid w:val="00616684"/>
    <w:rsid w:val="0061704B"/>
    <w:rsid w:val="00617974"/>
    <w:rsid w:val="006206BB"/>
    <w:rsid w:val="00621192"/>
    <w:rsid w:val="006211BC"/>
    <w:rsid w:val="00621F61"/>
    <w:rsid w:val="00621FB7"/>
    <w:rsid w:val="006222B0"/>
    <w:rsid w:val="00622F8D"/>
    <w:rsid w:val="00624399"/>
    <w:rsid w:val="00624D12"/>
    <w:rsid w:val="006250FB"/>
    <w:rsid w:val="00626214"/>
    <w:rsid w:val="00626273"/>
    <w:rsid w:val="00626D6A"/>
    <w:rsid w:val="00626E96"/>
    <w:rsid w:val="006274A4"/>
    <w:rsid w:val="006278C0"/>
    <w:rsid w:val="00630290"/>
    <w:rsid w:val="00631481"/>
    <w:rsid w:val="00631E30"/>
    <w:rsid w:val="00632E3D"/>
    <w:rsid w:val="00633253"/>
    <w:rsid w:val="006343B2"/>
    <w:rsid w:val="00634663"/>
    <w:rsid w:val="00634978"/>
    <w:rsid w:val="00634F83"/>
    <w:rsid w:val="00635656"/>
    <w:rsid w:val="00635C86"/>
    <w:rsid w:val="00637636"/>
    <w:rsid w:val="00637A2D"/>
    <w:rsid w:val="00640D75"/>
    <w:rsid w:val="00641878"/>
    <w:rsid w:val="00644A8B"/>
    <w:rsid w:val="00645C20"/>
    <w:rsid w:val="00647A68"/>
    <w:rsid w:val="00647D86"/>
    <w:rsid w:val="00652006"/>
    <w:rsid w:val="0065246C"/>
    <w:rsid w:val="00654D27"/>
    <w:rsid w:val="00654F15"/>
    <w:rsid w:val="0065549B"/>
    <w:rsid w:val="00662459"/>
    <w:rsid w:val="006637A3"/>
    <w:rsid w:val="006651FC"/>
    <w:rsid w:val="00665241"/>
    <w:rsid w:val="00665277"/>
    <w:rsid w:val="006655A4"/>
    <w:rsid w:val="0066565D"/>
    <w:rsid w:val="0066591D"/>
    <w:rsid w:val="006664DF"/>
    <w:rsid w:val="00667667"/>
    <w:rsid w:val="00667719"/>
    <w:rsid w:val="00671C60"/>
    <w:rsid w:val="00672625"/>
    <w:rsid w:val="00672E7A"/>
    <w:rsid w:val="006736ED"/>
    <w:rsid w:val="00673CDD"/>
    <w:rsid w:val="00673DC6"/>
    <w:rsid w:val="00674568"/>
    <w:rsid w:val="00674C23"/>
    <w:rsid w:val="00674FE7"/>
    <w:rsid w:val="00675241"/>
    <w:rsid w:val="00676FF0"/>
    <w:rsid w:val="00677C85"/>
    <w:rsid w:val="00680748"/>
    <w:rsid w:val="00680AF7"/>
    <w:rsid w:val="006817C2"/>
    <w:rsid w:val="00681CD4"/>
    <w:rsid w:val="0068211C"/>
    <w:rsid w:val="0068250F"/>
    <w:rsid w:val="006827E4"/>
    <w:rsid w:val="00684BBD"/>
    <w:rsid w:val="006851AB"/>
    <w:rsid w:val="006867F9"/>
    <w:rsid w:val="00686948"/>
    <w:rsid w:val="00690452"/>
    <w:rsid w:val="00691CC4"/>
    <w:rsid w:val="0069273F"/>
    <w:rsid w:val="00693BED"/>
    <w:rsid w:val="006942F4"/>
    <w:rsid w:val="006950B9"/>
    <w:rsid w:val="00695779"/>
    <w:rsid w:val="00695965"/>
    <w:rsid w:val="006960B5"/>
    <w:rsid w:val="00696F1E"/>
    <w:rsid w:val="0069790B"/>
    <w:rsid w:val="006A1B9F"/>
    <w:rsid w:val="006A1FCD"/>
    <w:rsid w:val="006A3251"/>
    <w:rsid w:val="006A3E2C"/>
    <w:rsid w:val="006A3F90"/>
    <w:rsid w:val="006A5CF6"/>
    <w:rsid w:val="006A7B8B"/>
    <w:rsid w:val="006B04CE"/>
    <w:rsid w:val="006B11BE"/>
    <w:rsid w:val="006B17E1"/>
    <w:rsid w:val="006B241D"/>
    <w:rsid w:val="006B3540"/>
    <w:rsid w:val="006B4C68"/>
    <w:rsid w:val="006B4F1A"/>
    <w:rsid w:val="006B53E2"/>
    <w:rsid w:val="006B5478"/>
    <w:rsid w:val="006B57DD"/>
    <w:rsid w:val="006C0080"/>
    <w:rsid w:val="006C06FE"/>
    <w:rsid w:val="006C098C"/>
    <w:rsid w:val="006C1381"/>
    <w:rsid w:val="006C1C1B"/>
    <w:rsid w:val="006C1DD6"/>
    <w:rsid w:val="006C21D4"/>
    <w:rsid w:val="006C339E"/>
    <w:rsid w:val="006C346C"/>
    <w:rsid w:val="006C3518"/>
    <w:rsid w:val="006C3FD7"/>
    <w:rsid w:val="006C44E9"/>
    <w:rsid w:val="006C450A"/>
    <w:rsid w:val="006C4C77"/>
    <w:rsid w:val="006C7539"/>
    <w:rsid w:val="006C7D23"/>
    <w:rsid w:val="006D1BF1"/>
    <w:rsid w:val="006D2513"/>
    <w:rsid w:val="006D34BA"/>
    <w:rsid w:val="006D3F29"/>
    <w:rsid w:val="006D3FDB"/>
    <w:rsid w:val="006D4845"/>
    <w:rsid w:val="006D658C"/>
    <w:rsid w:val="006D77EE"/>
    <w:rsid w:val="006E0491"/>
    <w:rsid w:val="006E0BAE"/>
    <w:rsid w:val="006E25C5"/>
    <w:rsid w:val="006E282A"/>
    <w:rsid w:val="006E3482"/>
    <w:rsid w:val="006E492F"/>
    <w:rsid w:val="006E4DEC"/>
    <w:rsid w:val="006E59A3"/>
    <w:rsid w:val="006E59B8"/>
    <w:rsid w:val="006E5D40"/>
    <w:rsid w:val="006E5F96"/>
    <w:rsid w:val="006E61CE"/>
    <w:rsid w:val="006E6627"/>
    <w:rsid w:val="006E67EA"/>
    <w:rsid w:val="006F065A"/>
    <w:rsid w:val="006F0A51"/>
    <w:rsid w:val="006F183C"/>
    <w:rsid w:val="006F1FDC"/>
    <w:rsid w:val="006F2050"/>
    <w:rsid w:val="006F255E"/>
    <w:rsid w:val="006F3543"/>
    <w:rsid w:val="006F354E"/>
    <w:rsid w:val="006F380D"/>
    <w:rsid w:val="006F3D64"/>
    <w:rsid w:val="006F46BF"/>
    <w:rsid w:val="006F48F8"/>
    <w:rsid w:val="006F4968"/>
    <w:rsid w:val="006F5D4E"/>
    <w:rsid w:val="006F647A"/>
    <w:rsid w:val="006F746C"/>
    <w:rsid w:val="006F7A4C"/>
    <w:rsid w:val="00700561"/>
    <w:rsid w:val="00700B1B"/>
    <w:rsid w:val="00700BA1"/>
    <w:rsid w:val="00702AC5"/>
    <w:rsid w:val="00703235"/>
    <w:rsid w:val="007045E2"/>
    <w:rsid w:val="00704607"/>
    <w:rsid w:val="0070462F"/>
    <w:rsid w:val="00704FE4"/>
    <w:rsid w:val="00705DFE"/>
    <w:rsid w:val="00710B02"/>
    <w:rsid w:val="007117C0"/>
    <w:rsid w:val="00713DB8"/>
    <w:rsid w:val="00715B36"/>
    <w:rsid w:val="00715FD9"/>
    <w:rsid w:val="007164AA"/>
    <w:rsid w:val="007172F1"/>
    <w:rsid w:val="00720386"/>
    <w:rsid w:val="00720AF1"/>
    <w:rsid w:val="00720EDD"/>
    <w:rsid w:val="0072118D"/>
    <w:rsid w:val="00721618"/>
    <w:rsid w:val="00721913"/>
    <w:rsid w:val="00721B86"/>
    <w:rsid w:val="00721F36"/>
    <w:rsid w:val="00722326"/>
    <w:rsid w:val="00722B5D"/>
    <w:rsid w:val="0072452E"/>
    <w:rsid w:val="00725EA1"/>
    <w:rsid w:val="00726916"/>
    <w:rsid w:val="00726A4A"/>
    <w:rsid w:val="0072704E"/>
    <w:rsid w:val="007333B9"/>
    <w:rsid w:val="0073427D"/>
    <w:rsid w:val="0073540A"/>
    <w:rsid w:val="00736BFB"/>
    <w:rsid w:val="0074051B"/>
    <w:rsid w:val="007412C3"/>
    <w:rsid w:val="0074344B"/>
    <w:rsid w:val="00743CA8"/>
    <w:rsid w:val="007444F7"/>
    <w:rsid w:val="007459B8"/>
    <w:rsid w:val="00745E9A"/>
    <w:rsid w:val="00746C78"/>
    <w:rsid w:val="0075079F"/>
    <w:rsid w:val="00750EA1"/>
    <w:rsid w:val="00752484"/>
    <w:rsid w:val="007575E9"/>
    <w:rsid w:val="007577DC"/>
    <w:rsid w:val="0076214F"/>
    <w:rsid w:val="00764377"/>
    <w:rsid w:val="007649B9"/>
    <w:rsid w:val="00765FC2"/>
    <w:rsid w:val="00770B75"/>
    <w:rsid w:val="007714FF"/>
    <w:rsid w:val="00771668"/>
    <w:rsid w:val="007724C7"/>
    <w:rsid w:val="00772BE1"/>
    <w:rsid w:val="007730F1"/>
    <w:rsid w:val="007737B6"/>
    <w:rsid w:val="00774612"/>
    <w:rsid w:val="00774AF0"/>
    <w:rsid w:val="00774F22"/>
    <w:rsid w:val="00782307"/>
    <w:rsid w:val="00782C5C"/>
    <w:rsid w:val="00782F74"/>
    <w:rsid w:val="00783551"/>
    <w:rsid w:val="0078387B"/>
    <w:rsid w:val="00784F23"/>
    <w:rsid w:val="007851FC"/>
    <w:rsid w:val="007855EA"/>
    <w:rsid w:val="0078560A"/>
    <w:rsid w:val="00785BF8"/>
    <w:rsid w:val="00786635"/>
    <w:rsid w:val="00787012"/>
    <w:rsid w:val="00787544"/>
    <w:rsid w:val="007907EB"/>
    <w:rsid w:val="00790C9D"/>
    <w:rsid w:val="00790CB6"/>
    <w:rsid w:val="00791DCE"/>
    <w:rsid w:val="0079226E"/>
    <w:rsid w:val="00793648"/>
    <w:rsid w:val="007937BB"/>
    <w:rsid w:val="00793C28"/>
    <w:rsid w:val="00794935"/>
    <w:rsid w:val="00796760"/>
    <w:rsid w:val="00796975"/>
    <w:rsid w:val="007972CE"/>
    <w:rsid w:val="007974CF"/>
    <w:rsid w:val="007A05ED"/>
    <w:rsid w:val="007A15DB"/>
    <w:rsid w:val="007A1CE2"/>
    <w:rsid w:val="007A2244"/>
    <w:rsid w:val="007A45CE"/>
    <w:rsid w:val="007A55B0"/>
    <w:rsid w:val="007A65AE"/>
    <w:rsid w:val="007A678D"/>
    <w:rsid w:val="007A6A94"/>
    <w:rsid w:val="007A6C54"/>
    <w:rsid w:val="007A6E48"/>
    <w:rsid w:val="007A705F"/>
    <w:rsid w:val="007A78FE"/>
    <w:rsid w:val="007A7FCD"/>
    <w:rsid w:val="007B0187"/>
    <w:rsid w:val="007B0DDC"/>
    <w:rsid w:val="007B11DD"/>
    <w:rsid w:val="007B153F"/>
    <w:rsid w:val="007B2073"/>
    <w:rsid w:val="007B24CD"/>
    <w:rsid w:val="007B262D"/>
    <w:rsid w:val="007B4A55"/>
    <w:rsid w:val="007B5415"/>
    <w:rsid w:val="007B5418"/>
    <w:rsid w:val="007C0902"/>
    <w:rsid w:val="007C0E6F"/>
    <w:rsid w:val="007C1F3E"/>
    <w:rsid w:val="007C2B34"/>
    <w:rsid w:val="007C3890"/>
    <w:rsid w:val="007C3E50"/>
    <w:rsid w:val="007C3F92"/>
    <w:rsid w:val="007C62EF"/>
    <w:rsid w:val="007C709C"/>
    <w:rsid w:val="007C7F32"/>
    <w:rsid w:val="007D0172"/>
    <w:rsid w:val="007D0449"/>
    <w:rsid w:val="007D0F81"/>
    <w:rsid w:val="007D1BA4"/>
    <w:rsid w:val="007D2AAE"/>
    <w:rsid w:val="007D2C27"/>
    <w:rsid w:val="007D407D"/>
    <w:rsid w:val="007D4512"/>
    <w:rsid w:val="007D670D"/>
    <w:rsid w:val="007D7A92"/>
    <w:rsid w:val="007D7EA9"/>
    <w:rsid w:val="007E06DB"/>
    <w:rsid w:val="007E2855"/>
    <w:rsid w:val="007E3C8A"/>
    <w:rsid w:val="007E3F10"/>
    <w:rsid w:val="007E4610"/>
    <w:rsid w:val="007E7D06"/>
    <w:rsid w:val="007F0B07"/>
    <w:rsid w:val="007F0D98"/>
    <w:rsid w:val="007F0F2B"/>
    <w:rsid w:val="007F1CE6"/>
    <w:rsid w:val="007F2E0A"/>
    <w:rsid w:val="007F4762"/>
    <w:rsid w:val="007F47D9"/>
    <w:rsid w:val="007F6A7A"/>
    <w:rsid w:val="007F78B0"/>
    <w:rsid w:val="007F7C1B"/>
    <w:rsid w:val="007F7C6E"/>
    <w:rsid w:val="007F7CEF"/>
    <w:rsid w:val="0080044F"/>
    <w:rsid w:val="00800C2E"/>
    <w:rsid w:val="00802DDE"/>
    <w:rsid w:val="008032DD"/>
    <w:rsid w:val="008037C0"/>
    <w:rsid w:val="0080435B"/>
    <w:rsid w:val="008052B0"/>
    <w:rsid w:val="00805D85"/>
    <w:rsid w:val="00806546"/>
    <w:rsid w:val="00807513"/>
    <w:rsid w:val="00807953"/>
    <w:rsid w:val="008108A4"/>
    <w:rsid w:val="008108BA"/>
    <w:rsid w:val="00810DB9"/>
    <w:rsid w:val="008138BD"/>
    <w:rsid w:val="00813FDE"/>
    <w:rsid w:val="008147E7"/>
    <w:rsid w:val="00814A8E"/>
    <w:rsid w:val="00815199"/>
    <w:rsid w:val="00815E6F"/>
    <w:rsid w:val="00817315"/>
    <w:rsid w:val="0082146C"/>
    <w:rsid w:val="008217FB"/>
    <w:rsid w:val="00821E01"/>
    <w:rsid w:val="008225C9"/>
    <w:rsid w:val="00822631"/>
    <w:rsid w:val="00822A57"/>
    <w:rsid w:val="008234B0"/>
    <w:rsid w:val="00823521"/>
    <w:rsid w:val="00824CBF"/>
    <w:rsid w:val="008254AA"/>
    <w:rsid w:val="00825F93"/>
    <w:rsid w:val="00826653"/>
    <w:rsid w:val="00827DE9"/>
    <w:rsid w:val="00831E60"/>
    <w:rsid w:val="00832487"/>
    <w:rsid w:val="008348E4"/>
    <w:rsid w:val="0083498B"/>
    <w:rsid w:val="00834D1A"/>
    <w:rsid w:val="008351EE"/>
    <w:rsid w:val="00836007"/>
    <w:rsid w:val="00841729"/>
    <w:rsid w:val="00841AD3"/>
    <w:rsid w:val="008425D0"/>
    <w:rsid w:val="0084334C"/>
    <w:rsid w:val="00843642"/>
    <w:rsid w:val="00843AAA"/>
    <w:rsid w:val="00843E58"/>
    <w:rsid w:val="0084478E"/>
    <w:rsid w:val="00844A61"/>
    <w:rsid w:val="00844CC9"/>
    <w:rsid w:val="008457F6"/>
    <w:rsid w:val="0085019A"/>
    <w:rsid w:val="00850C1C"/>
    <w:rsid w:val="00851368"/>
    <w:rsid w:val="00851AD2"/>
    <w:rsid w:val="00851E89"/>
    <w:rsid w:val="00851F26"/>
    <w:rsid w:val="00852869"/>
    <w:rsid w:val="00854867"/>
    <w:rsid w:val="00856274"/>
    <w:rsid w:val="00856558"/>
    <w:rsid w:val="00856DB6"/>
    <w:rsid w:val="008572F7"/>
    <w:rsid w:val="008573DE"/>
    <w:rsid w:val="00857457"/>
    <w:rsid w:val="0085753E"/>
    <w:rsid w:val="00857F56"/>
    <w:rsid w:val="0086024D"/>
    <w:rsid w:val="00860487"/>
    <w:rsid w:val="008606E9"/>
    <w:rsid w:val="00860CD7"/>
    <w:rsid w:val="00860E0D"/>
    <w:rsid w:val="008613B8"/>
    <w:rsid w:val="0086339E"/>
    <w:rsid w:val="008642E9"/>
    <w:rsid w:val="00864921"/>
    <w:rsid w:val="0086664F"/>
    <w:rsid w:val="00866BFC"/>
    <w:rsid w:val="0086736A"/>
    <w:rsid w:val="008674B6"/>
    <w:rsid w:val="008676F3"/>
    <w:rsid w:val="00867D4F"/>
    <w:rsid w:val="00871B14"/>
    <w:rsid w:val="00871F8E"/>
    <w:rsid w:val="008721DD"/>
    <w:rsid w:val="00872276"/>
    <w:rsid w:val="00872E44"/>
    <w:rsid w:val="00873017"/>
    <w:rsid w:val="00873C21"/>
    <w:rsid w:val="00873F89"/>
    <w:rsid w:val="008740E2"/>
    <w:rsid w:val="00876268"/>
    <w:rsid w:val="008767E4"/>
    <w:rsid w:val="0087683D"/>
    <w:rsid w:val="00877121"/>
    <w:rsid w:val="00880BFC"/>
    <w:rsid w:val="00881271"/>
    <w:rsid w:val="00881B97"/>
    <w:rsid w:val="00881FC6"/>
    <w:rsid w:val="00882C99"/>
    <w:rsid w:val="00883945"/>
    <w:rsid w:val="008843C0"/>
    <w:rsid w:val="0088570E"/>
    <w:rsid w:val="00885AEF"/>
    <w:rsid w:val="008871BE"/>
    <w:rsid w:val="00887F56"/>
    <w:rsid w:val="008909A1"/>
    <w:rsid w:val="00890DB2"/>
    <w:rsid w:val="008923D0"/>
    <w:rsid w:val="0089240C"/>
    <w:rsid w:val="00892B7E"/>
    <w:rsid w:val="00892D09"/>
    <w:rsid w:val="008932FD"/>
    <w:rsid w:val="00893675"/>
    <w:rsid w:val="00894407"/>
    <w:rsid w:val="00895AF0"/>
    <w:rsid w:val="00895C97"/>
    <w:rsid w:val="0089639D"/>
    <w:rsid w:val="00896D79"/>
    <w:rsid w:val="00897D59"/>
    <w:rsid w:val="008A005F"/>
    <w:rsid w:val="008A093F"/>
    <w:rsid w:val="008A159B"/>
    <w:rsid w:val="008A16BE"/>
    <w:rsid w:val="008A1B54"/>
    <w:rsid w:val="008A1DE9"/>
    <w:rsid w:val="008A401F"/>
    <w:rsid w:val="008A5A76"/>
    <w:rsid w:val="008A689A"/>
    <w:rsid w:val="008A6E06"/>
    <w:rsid w:val="008B2D5E"/>
    <w:rsid w:val="008B37DF"/>
    <w:rsid w:val="008B520B"/>
    <w:rsid w:val="008B564C"/>
    <w:rsid w:val="008B660A"/>
    <w:rsid w:val="008B6AC5"/>
    <w:rsid w:val="008B6E72"/>
    <w:rsid w:val="008B7F12"/>
    <w:rsid w:val="008C0CA6"/>
    <w:rsid w:val="008C0E21"/>
    <w:rsid w:val="008C119F"/>
    <w:rsid w:val="008C1CF8"/>
    <w:rsid w:val="008C1F4A"/>
    <w:rsid w:val="008C2A67"/>
    <w:rsid w:val="008C3587"/>
    <w:rsid w:val="008C45E1"/>
    <w:rsid w:val="008D0D8C"/>
    <w:rsid w:val="008D11E6"/>
    <w:rsid w:val="008D1C11"/>
    <w:rsid w:val="008D2D6C"/>
    <w:rsid w:val="008D3839"/>
    <w:rsid w:val="008D3A4A"/>
    <w:rsid w:val="008D3AE4"/>
    <w:rsid w:val="008D4009"/>
    <w:rsid w:val="008D4015"/>
    <w:rsid w:val="008D4571"/>
    <w:rsid w:val="008D4DCD"/>
    <w:rsid w:val="008D4E10"/>
    <w:rsid w:val="008D5677"/>
    <w:rsid w:val="008D6489"/>
    <w:rsid w:val="008D6C90"/>
    <w:rsid w:val="008D7010"/>
    <w:rsid w:val="008D7025"/>
    <w:rsid w:val="008D7C99"/>
    <w:rsid w:val="008D7F12"/>
    <w:rsid w:val="008E0238"/>
    <w:rsid w:val="008E1598"/>
    <w:rsid w:val="008E166F"/>
    <w:rsid w:val="008E3695"/>
    <w:rsid w:val="008E4093"/>
    <w:rsid w:val="008E4468"/>
    <w:rsid w:val="008E4DEC"/>
    <w:rsid w:val="008E4F2B"/>
    <w:rsid w:val="008E55AE"/>
    <w:rsid w:val="008E663F"/>
    <w:rsid w:val="008E67CE"/>
    <w:rsid w:val="008E6929"/>
    <w:rsid w:val="008E69BF"/>
    <w:rsid w:val="008E7DE7"/>
    <w:rsid w:val="008F0ABB"/>
    <w:rsid w:val="008F1200"/>
    <w:rsid w:val="008F1C35"/>
    <w:rsid w:val="008F1EF5"/>
    <w:rsid w:val="008F356B"/>
    <w:rsid w:val="008F38C7"/>
    <w:rsid w:val="008F3C4D"/>
    <w:rsid w:val="008F7446"/>
    <w:rsid w:val="008F760B"/>
    <w:rsid w:val="00900412"/>
    <w:rsid w:val="00900C1A"/>
    <w:rsid w:val="00901D10"/>
    <w:rsid w:val="009024D6"/>
    <w:rsid w:val="009032EB"/>
    <w:rsid w:val="009041C1"/>
    <w:rsid w:val="009051CC"/>
    <w:rsid w:val="009052FB"/>
    <w:rsid w:val="00905804"/>
    <w:rsid w:val="00906533"/>
    <w:rsid w:val="00906BA4"/>
    <w:rsid w:val="009070F0"/>
    <w:rsid w:val="00910F15"/>
    <w:rsid w:val="0091110C"/>
    <w:rsid w:val="00911647"/>
    <w:rsid w:val="00912E97"/>
    <w:rsid w:val="0091372C"/>
    <w:rsid w:val="0091565C"/>
    <w:rsid w:val="00915A66"/>
    <w:rsid w:val="00915D04"/>
    <w:rsid w:val="00915EEF"/>
    <w:rsid w:val="009170F7"/>
    <w:rsid w:val="00920686"/>
    <w:rsid w:val="0092157F"/>
    <w:rsid w:val="00921681"/>
    <w:rsid w:val="00921962"/>
    <w:rsid w:val="00921EC0"/>
    <w:rsid w:val="00922425"/>
    <w:rsid w:val="009236D4"/>
    <w:rsid w:val="00926242"/>
    <w:rsid w:val="009273EC"/>
    <w:rsid w:val="009312F8"/>
    <w:rsid w:val="00931305"/>
    <w:rsid w:val="00931A6A"/>
    <w:rsid w:val="009320FA"/>
    <w:rsid w:val="0093363E"/>
    <w:rsid w:val="009347AE"/>
    <w:rsid w:val="00934B2D"/>
    <w:rsid w:val="009367E2"/>
    <w:rsid w:val="0093722E"/>
    <w:rsid w:val="00937495"/>
    <w:rsid w:val="00937828"/>
    <w:rsid w:val="00937EDF"/>
    <w:rsid w:val="00937F69"/>
    <w:rsid w:val="0094019D"/>
    <w:rsid w:val="00940E1A"/>
    <w:rsid w:val="0094223C"/>
    <w:rsid w:val="00942F2E"/>
    <w:rsid w:val="00944F98"/>
    <w:rsid w:val="00945544"/>
    <w:rsid w:val="00945A9B"/>
    <w:rsid w:val="00945C87"/>
    <w:rsid w:val="009507EE"/>
    <w:rsid w:val="009509E9"/>
    <w:rsid w:val="00950C03"/>
    <w:rsid w:val="00951854"/>
    <w:rsid w:val="00951EEA"/>
    <w:rsid w:val="009523EE"/>
    <w:rsid w:val="009525E5"/>
    <w:rsid w:val="00952A72"/>
    <w:rsid w:val="00955FBB"/>
    <w:rsid w:val="00956692"/>
    <w:rsid w:val="00957DF4"/>
    <w:rsid w:val="00960C1E"/>
    <w:rsid w:val="00960E2D"/>
    <w:rsid w:val="00961036"/>
    <w:rsid w:val="00962215"/>
    <w:rsid w:val="009623C7"/>
    <w:rsid w:val="00964535"/>
    <w:rsid w:val="00966717"/>
    <w:rsid w:val="009672A3"/>
    <w:rsid w:val="00967B27"/>
    <w:rsid w:val="00967B39"/>
    <w:rsid w:val="009704E5"/>
    <w:rsid w:val="009707C5"/>
    <w:rsid w:val="00970E29"/>
    <w:rsid w:val="00972F5C"/>
    <w:rsid w:val="00972FCE"/>
    <w:rsid w:val="009735E6"/>
    <w:rsid w:val="0097365F"/>
    <w:rsid w:val="00973B58"/>
    <w:rsid w:val="00973DB7"/>
    <w:rsid w:val="009745FE"/>
    <w:rsid w:val="00975B3E"/>
    <w:rsid w:val="00975EE0"/>
    <w:rsid w:val="00976110"/>
    <w:rsid w:val="00977A94"/>
    <w:rsid w:val="009813A9"/>
    <w:rsid w:val="009815CD"/>
    <w:rsid w:val="009816AF"/>
    <w:rsid w:val="0098193C"/>
    <w:rsid w:val="00981EAD"/>
    <w:rsid w:val="00981EBA"/>
    <w:rsid w:val="0098301A"/>
    <w:rsid w:val="00983E59"/>
    <w:rsid w:val="00984DC8"/>
    <w:rsid w:val="009852AA"/>
    <w:rsid w:val="009852B1"/>
    <w:rsid w:val="0098781B"/>
    <w:rsid w:val="0099006D"/>
    <w:rsid w:val="00994972"/>
    <w:rsid w:val="00994DDF"/>
    <w:rsid w:val="00994EB9"/>
    <w:rsid w:val="00995920"/>
    <w:rsid w:val="00995FE2"/>
    <w:rsid w:val="00996B5E"/>
    <w:rsid w:val="00996E99"/>
    <w:rsid w:val="00996F71"/>
    <w:rsid w:val="009978A4"/>
    <w:rsid w:val="009A2576"/>
    <w:rsid w:val="009A2FD9"/>
    <w:rsid w:val="009A300E"/>
    <w:rsid w:val="009A38B6"/>
    <w:rsid w:val="009A59F3"/>
    <w:rsid w:val="009A63B9"/>
    <w:rsid w:val="009A68A0"/>
    <w:rsid w:val="009B202B"/>
    <w:rsid w:val="009B30B6"/>
    <w:rsid w:val="009B3B58"/>
    <w:rsid w:val="009B3C01"/>
    <w:rsid w:val="009B42BB"/>
    <w:rsid w:val="009B4623"/>
    <w:rsid w:val="009B4A40"/>
    <w:rsid w:val="009B5248"/>
    <w:rsid w:val="009B5E8F"/>
    <w:rsid w:val="009B68BF"/>
    <w:rsid w:val="009B6C74"/>
    <w:rsid w:val="009B73F1"/>
    <w:rsid w:val="009B7BF3"/>
    <w:rsid w:val="009C0F54"/>
    <w:rsid w:val="009C2327"/>
    <w:rsid w:val="009C34FD"/>
    <w:rsid w:val="009C5181"/>
    <w:rsid w:val="009C6626"/>
    <w:rsid w:val="009C72D3"/>
    <w:rsid w:val="009C7430"/>
    <w:rsid w:val="009D045B"/>
    <w:rsid w:val="009D05DF"/>
    <w:rsid w:val="009D1AE9"/>
    <w:rsid w:val="009D2206"/>
    <w:rsid w:val="009D325B"/>
    <w:rsid w:val="009D36DA"/>
    <w:rsid w:val="009D3BAC"/>
    <w:rsid w:val="009D3C8E"/>
    <w:rsid w:val="009D4FE9"/>
    <w:rsid w:val="009D594F"/>
    <w:rsid w:val="009D624F"/>
    <w:rsid w:val="009D694A"/>
    <w:rsid w:val="009E0C7F"/>
    <w:rsid w:val="009E1997"/>
    <w:rsid w:val="009E1CE8"/>
    <w:rsid w:val="009E3539"/>
    <w:rsid w:val="009E4092"/>
    <w:rsid w:val="009E4956"/>
    <w:rsid w:val="009E65DD"/>
    <w:rsid w:val="009F1D78"/>
    <w:rsid w:val="009F2698"/>
    <w:rsid w:val="009F2716"/>
    <w:rsid w:val="009F2DBE"/>
    <w:rsid w:val="009F360C"/>
    <w:rsid w:val="009F3CD6"/>
    <w:rsid w:val="009F3D34"/>
    <w:rsid w:val="009F4D80"/>
    <w:rsid w:val="009F4FB2"/>
    <w:rsid w:val="009F5289"/>
    <w:rsid w:val="009F5514"/>
    <w:rsid w:val="009F665C"/>
    <w:rsid w:val="009F7ECF"/>
    <w:rsid w:val="00A0023F"/>
    <w:rsid w:val="00A015E5"/>
    <w:rsid w:val="00A01D56"/>
    <w:rsid w:val="00A040C3"/>
    <w:rsid w:val="00A042C1"/>
    <w:rsid w:val="00A048BC"/>
    <w:rsid w:val="00A04B90"/>
    <w:rsid w:val="00A06651"/>
    <w:rsid w:val="00A07979"/>
    <w:rsid w:val="00A10DCB"/>
    <w:rsid w:val="00A11AAE"/>
    <w:rsid w:val="00A11F5B"/>
    <w:rsid w:val="00A12814"/>
    <w:rsid w:val="00A12E1E"/>
    <w:rsid w:val="00A12FDA"/>
    <w:rsid w:val="00A13688"/>
    <w:rsid w:val="00A1423C"/>
    <w:rsid w:val="00A14908"/>
    <w:rsid w:val="00A14B51"/>
    <w:rsid w:val="00A16052"/>
    <w:rsid w:val="00A17475"/>
    <w:rsid w:val="00A20C39"/>
    <w:rsid w:val="00A2102A"/>
    <w:rsid w:val="00A21160"/>
    <w:rsid w:val="00A2168A"/>
    <w:rsid w:val="00A216AA"/>
    <w:rsid w:val="00A2183E"/>
    <w:rsid w:val="00A21F4C"/>
    <w:rsid w:val="00A2308A"/>
    <w:rsid w:val="00A236E1"/>
    <w:rsid w:val="00A241C8"/>
    <w:rsid w:val="00A253DC"/>
    <w:rsid w:val="00A25BCB"/>
    <w:rsid w:val="00A265CE"/>
    <w:rsid w:val="00A27932"/>
    <w:rsid w:val="00A30A91"/>
    <w:rsid w:val="00A3103C"/>
    <w:rsid w:val="00A3295F"/>
    <w:rsid w:val="00A32FCA"/>
    <w:rsid w:val="00A33D1E"/>
    <w:rsid w:val="00A34C6F"/>
    <w:rsid w:val="00A34D46"/>
    <w:rsid w:val="00A35654"/>
    <w:rsid w:val="00A369A6"/>
    <w:rsid w:val="00A36D82"/>
    <w:rsid w:val="00A373F4"/>
    <w:rsid w:val="00A37B44"/>
    <w:rsid w:val="00A40368"/>
    <w:rsid w:val="00A40B7C"/>
    <w:rsid w:val="00A42A24"/>
    <w:rsid w:val="00A42C4C"/>
    <w:rsid w:val="00A43EB7"/>
    <w:rsid w:val="00A44FDC"/>
    <w:rsid w:val="00A44FEF"/>
    <w:rsid w:val="00A45FEF"/>
    <w:rsid w:val="00A464AC"/>
    <w:rsid w:val="00A472D6"/>
    <w:rsid w:val="00A47A34"/>
    <w:rsid w:val="00A5008B"/>
    <w:rsid w:val="00A5112F"/>
    <w:rsid w:val="00A516FD"/>
    <w:rsid w:val="00A5173B"/>
    <w:rsid w:val="00A51B24"/>
    <w:rsid w:val="00A52A81"/>
    <w:rsid w:val="00A53367"/>
    <w:rsid w:val="00A56195"/>
    <w:rsid w:val="00A56364"/>
    <w:rsid w:val="00A60422"/>
    <w:rsid w:val="00A618EF"/>
    <w:rsid w:val="00A62856"/>
    <w:rsid w:val="00A64045"/>
    <w:rsid w:val="00A640E4"/>
    <w:rsid w:val="00A64DFC"/>
    <w:rsid w:val="00A6622C"/>
    <w:rsid w:val="00A67456"/>
    <w:rsid w:val="00A7110F"/>
    <w:rsid w:val="00A7114C"/>
    <w:rsid w:val="00A72EB5"/>
    <w:rsid w:val="00A7382F"/>
    <w:rsid w:val="00A73B8C"/>
    <w:rsid w:val="00A74286"/>
    <w:rsid w:val="00A74CD2"/>
    <w:rsid w:val="00A74DE5"/>
    <w:rsid w:val="00A75277"/>
    <w:rsid w:val="00A752FE"/>
    <w:rsid w:val="00A779DC"/>
    <w:rsid w:val="00A810AB"/>
    <w:rsid w:val="00A812B5"/>
    <w:rsid w:val="00A818E2"/>
    <w:rsid w:val="00A82FE0"/>
    <w:rsid w:val="00A837B1"/>
    <w:rsid w:val="00A83A72"/>
    <w:rsid w:val="00A83F37"/>
    <w:rsid w:val="00A8431B"/>
    <w:rsid w:val="00A8482E"/>
    <w:rsid w:val="00A84C96"/>
    <w:rsid w:val="00A84F27"/>
    <w:rsid w:val="00A86D92"/>
    <w:rsid w:val="00A86DF5"/>
    <w:rsid w:val="00A87560"/>
    <w:rsid w:val="00A90D09"/>
    <w:rsid w:val="00A91ABA"/>
    <w:rsid w:val="00A91BE5"/>
    <w:rsid w:val="00A920A8"/>
    <w:rsid w:val="00A94A83"/>
    <w:rsid w:val="00A95275"/>
    <w:rsid w:val="00A9535D"/>
    <w:rsid w:val="00A97002"/>
    <w:rsid w:val="00A97531"/>
    <w:rsid w:val="00A97A29"/>
    <w:rsid w:val="00A97EE2"/>
    <w:rsid w:val="00AA0A98"/>
    <w:rsid w:val="00AA1525"/>
    <w:rsid w:val="00AA1F2C"/>
    <w:rsid w:val="00AA2025"/>
    <w:rsid w:val="00AA2334"/>
    <w:rsid w:val="00AA2506"/>
    <w:rsid w:val="00AA27DA"/>
    <w:rsid w:val="00AA3328"/>
    <w:rsid w:val="00AA471D"/>
    <w:rsid w:val="00AA4EF1"/>
    <w:rsid w:val="00AA581F"/>
    <w:rsid w:val="00AA598D"/>
    <w:rsid w:val="00AA5AE7"/>
    <w:rsid w:val="00AA7092"/>
    <w:rsid w:val="00AA78DC"/>
    <w:rsid w:val="00AB041C"/>
    <w:rsid w:val="00AB1270"/>
    <w:rsid w:val="00AB199C"/>
    <w:rsid w:val="00AB1FA3"/>
    <w:rsid w:val="00AB52DB"/>
    <w:rsid w:val="00AB534B"/>
    <w:rsid w:val="00AB664E"/>
    <w:rsid w:val="00AB7948"/>
    <w:rsid w:val="00AB7B43"/>
    <w:rsid w:val="00AB7E17"/>
    <w:rsid w:val="00AC039F"/>
    <w:rsid w:val="00AC41B5"/>
    <w:rsid w:val="00AC5877"/>
    <w:rsid w:val="00AC6469"/>
    <w:rsid w:val="00AC679B"/>
    <w:rsid w:val="00AC70D9"/>
    <w:rsid w:val="00AD134F"/>
    <w:rsid w:val="00AD287A"/>
    <w:rsid w:val="00AD4328"/>
    <w:rsid w:val="00AD44F6"/>
    <w:rsid w:val="00AD6239"/>
    <w:rsid w:val="00AD6388"/>
    <w:rsid w:val="00AD75A9"/>
    <w:rsid w:val="00AD777E"/>
    <w:rsid w:val="00AD7D57"/>
    <w:rsid w:val="00AD7E03"/>
    <w:rsid w:val="00AD7F25"/>
    <w:rsid w:val="00AE224C"/>
    <w:rsid w:val="00AE3650"/>
    <w:rsid w:val="00AE3AC5"/>
    <w:rsid w:val="00AE47C7"/>
    <w:rsid w:val="00AE4853"/>
    <w:rsid w:val="00AE49F8"/>
    <w:rsid w:val="00AE56FA"/>
    <w:rsid w:val="00AE5B27"/>
    <w:rsid w:val="00AE6801"/>
    <w:rsid w:val="00AE6E53"/>
    <w:rsid w:val="00AE6EDD"/>
    <w:rsid w:val="00AF0EAF"/>
    <w:rsid w:val="00AF1352"/>
    <w:rsid w:val="00AF1CA3"/>
    <w:rsid w:val="00AF1CEF"/>
    <w:rsid w:val="00AF26F7"/>
    <w:rsid w:val="00AF5886"/>
    <w:rsid w:val="00AF67B4"/>
    <w:rsid w:val="00AF6B65"/>
    <w:rsid w:val="00AF738F"/>
    <w:rsid w:val="00B01222"/>
    <w:rsid w:val="00B0187F"/>
    <w:rsid w:val="00B0357F"/>
    <w:rsid w:val="00B03E07"/>
    <w:rsid w:val="00B041F4"/>
    <w:rsid w:val="00B047A5"/>
    <w:rsid w:val="00B04BD3"/>
    <w:rsid w:val="00B070CE"/>
    <w:rsid w:val="00B076F6"/>
    <w:rsid w:val="00B11192"/>
    <w:rsid w:val="00B12193"/>
    <w:rsid w:val="00B1267E"/>
    <w:rsid w:val="00B12832"/>
    <w:rsid w:val="00B128B5"/>
    <w:rsid w:val="00B1307E"/>
    <w:rsid w:val="00B13CF4"/>
    <w:rsid w:val="00B14EA7"/>
    <w:rsid w:val="00B16275"/>
    <w:rsid w:val="00B165CE"/>
    <w:rsid w:val="00B21369"/>
    <w:rsid w:val="00B22721"/>
    <w:rsid w:val="00B2409C"/>
    <w:rsid w:val="00B24184"/>
    <w:rsid w:val="00B24C9B"/>
    <w:rsid w:val="00B254C6"/>
    <w:rsid w:val="00B25B82"/>
    <w:rsid w:val="00B26F08"/>
    <w:rsid w:val="00B33732"/>
    <w:rsid w:val="00B33834"/>
    <w:rsid w:val="00B33D58"/>
    <w:rsid w:val="00B357D4"/>
    <w:rsid w:val="00B36132"/>
    <w:rsid w:val="00B366A0"/>
    <w:rsid w:val="00B376C0"/>
    <w:rsid w:val="00B403DC"/>
    <w:rsid w:val="00B40620"/>
    <w:rsid w:val="00B40C82"/>
    <w:rsid w:val="00B42F80"/>
    <w:rsid w:val="00B4451A"/>
    <w:rsid w:val="00B44F9B"/>
    <w:rsid w:val="00B458D2"/>
    <w:rsid w:val="00B477AA"/>
    <w:rsid w:val="00B47E81"/>
    <w:rsid w:val="00B5040D"/>
    <w:rsid w:val="00B511B1"/>
    <w:rsid w:val="00B511C4"/>
    <w:rsid w:val="00B51A91"/>
    <w:rsid w:val="00B539A8"/>
    <w:rsid w:val="00B53D88"/>
    <w:rsid w:val="00B53EB1"/>
    <w:rsid w:val="00B554D3"/>
    <w:rsid w:val="00B56174"/>
    <w:rsid w:val="00B57E44"/>
    <w:rsid w:val="00B60981"/>
    <w:rsid w:val="00B60B2D"/>
    <w:rsid w:val="00B6174C"/>
    <w:rsid w:val="00B6238A"/>
    <w:rsid w:val="00B627F4"/>
    <w:rsid w:val="00B62912"/>
    <w:rsid w:val="00B62AD5"/>
    <w:rsid w:val="00B65B37"/>
    <w:rsid w:val="00B72325"/>
    <w:rsid w:val="00B72880"/>
    <w:rsid w:val="00B73637"/>
    <w:rsid w:val="00B73A57"/>
    <w:rsid w:val="00B76C4A"/>
    <w:rsid w:val="00B77597"/>
    <w:rsid w:val="00B775A7"/>
    <w:rsid w:val="00B803A2"/>
    <w:rsid w:val="00B80D86"/>
    <w:rsid w:val="00B8119C"/>
    <w:rsid w:val="00B835EA"/>
    <w:rsid w:val="00B839C8"/>
    <w:rsid w:val="00B86009"/>
    <w:rsid w:val="00B87131"/>
    <w:rsid w:val="00B87DD9"/>
    <w:rsid w:val="00B92720"/>
    <w:rsid w:val="00B92AD3"/>
    <w:rsid w:val="00B94010"/>
    <w:rsid w:val="00B94097"/>
    <w:rsid w:val="00B95335"/>
    <w:rsid w:val="00B96275"/>
    <w:rsid w:val="00B9631C"/>
    <w:rsid w:val="00B97B96"/>
    <w:rsid w:val="00BA01E3"/>
    <w:rsid w:val="00BA06B2"/>
    <w:rsid w:val="00BA075F"/>
    <w:rsid w:val="00BA0926"/>
    <w:rsid w:val="00BA0C46"/>
    <w:rsid w:val="00BA19EA"/>
    <w:rsid w:val="00BA225A"/>
    <w:rsid w:val="00BA2F73"/>
    <w:rsid w:val="00BA329C"/>
    <w:rsid w:val="00BA38CD"/>
    <w:rsid w:val="00BA3E6D"/>
    <w:rsid w:val="00BA48F6"/>
    <w:rsid w:val="00BA54F5"/>
    <w:rsid w:val="00BA60B8"/>
    <w:rsid w:val="00BA61B0"/>
    <w:rsid w:val="00BA749B"/>
    <w:rsid w:val="00BA7672"/>
    <w:rsid w:val="00BA7C08"/>
    <w:rsid w:val="00BA7FA9"/>
    <w:rsid w:val="00BB14A0"/>
    <w:rsid w:val="00BB151C"/>
    <w:rsid w:val="00BB1A88"/>
    <w:rsid w:val="00BB1B23"/>
    <w:rsid w:val="00BB1F27"/>
    <w:rsid w:val="00BB30AB"/>
    <w:rsid w:val="00BB461B"/>
    <w:rsid w:val="00BB486E"/>
    <w:rsid w:val="00BB5FED"/>
    <w:rsid w:val="00BB62A9"/>
    <w:rsid w:val="00BB7CA0"/>
    <w:rsid w:val="00BC044D"/>
    <w:rsid w:val="00BC0A4E"/>
    <w:rsid w:val="00BC123D"/>
    <w:rsid w:val="00BC14C9"/>
    <w:rsid w:val="00BC1E01"/>
    <w:rsid w:val="00BC3EDC"/>
    <w:rsid w:val="00BC4CBA"/>
    <w:rsid w:val="00BC5902"/>
    <w:rsid w:val="00BC5D8D"/>
    <w:rsid w:val="00BC6403"/>
    <w:rsid w:val="00BC7AF1"/>
    <w:rsid w:val="00BC7F2C"/>
    <w:rsid w:val="00BD030B"/>
    <w:rsid w:val="00BD0F4E"/>
    <w:rsid w:val="00BD0F79"/>
    <w:rsid w:val="00BD2329"/>
    <w:rsid w:val="00BD2469"/>
    <w:rsid w:val="00BD2809"/>
    <w:rsid w:val="00BD3554"/>
    <w:rsid w:val="00BD3719"/>
    <w:rsid w:val="00BD3C18"/>
    <w:rsid w:val="00BD430D"/>
    <w:rsid w:val="00BD4EF8"/>
    <w:rsid w:val="00BD4FFF"/>
    <w:rsid w:val="00BD5325"/>
    <w:rsid w:val="00BD6424"/>
    <w:rsid w:val="00BD7B4D"/>
    <w:rsid w:val="00BE11A5"/>
    <w:rsid w:val="00BE1A18"/>
    <w:rsid w:val="00BE1DCB"/>
    <w:rsid w:val="00BE2DEC"/>
    <w:rsid w:val="00BE42B5"/>
    <w:rsid w:val="00BE4709"/>
    <w:rsid w:val="00BE4C2D"/>
    <w:rsid w:val="00BE5737"/>
    <w:rsid w:val="00BE615D"/>
    <w:rsid w:val="00BE6A94"/>
    <w:rsid w:val="00BE6DE0"/>
    <w:rsid w:val="00BF06D9"/>
    <w:rsid w:val="00BF0A87"/>
    <w:rsid w:val="00BF1407"/>
    <w:rsid w:val="00BF162C"/>
    <w:rsid w:val="00BF1830"/>
    <w:rsid w:val="00BF1E89"/>
    <w:rsid w:val="00BF25A0"/>
    <w:rsid w:val="00BF2649"/>
    <w:rsid w:val="00BF2D1A"/>
    <w:rsid w:val="00BF633C"/>
    <w:rsid w:val="00BF7A8C"/>
    <w:rsid w:val="00BF7D3F"/>
    <w:rsid w:val="00C004C8"/>
    <w:rsid w:val="00C0297C"/>
    <w:rsid w:val="00C029B2"/>
    <w:rsid w:val="00C032A8"/>
    <w:rsid w:val="00C03BB9"/>
    <w:rsid w:val="00C04487"/>
    <w:rsid w:val="00C04F43"/>
    <w:rsid w:val="00C05B04"/>
    <w:rsid w:val="00C10594"/>
    <w:rsid w:val="00C106B0"/>
    <w:rsid w:val="00C11FA2"/>
    <w:rsid w:val="00C12867"/>
    <w:rsid w:val="00C12AAF"/>
    <w:rsid w:val="00C13610"/>
    <w:rsid w:val="00C13C7A"/>
    <w:rsid w:val="00C14B7E"/>
    <w:rsid w:val="00C14C1B"/>
    <w:rsid w:val="00C15218"/>
    <w:rsid w:val="00C15387"/>
    <w:rsid w:val="00C16DF1"/>
    <w:rsid w:val="00C17326"/>
    <w:rsid w:val="00C21726"/>
    <w:rsid w:val="00C21B95"/>
    <w:rsid w:val="00C22435"/>
    <w:rsid w:val="00C22E4F"/>
    <w:rsid w:val="00C23C1E"/>
    <w:rsid w:val="00C24966"/>
    <w:rsid w:val="00C24A4E"/>
    <w:rsid w:val="00C25464"/>
    <w:rsid w:val="00C26E07"/>
    <w:rsid w:val="00C27666"/>
    <w:rsid w:val="00C30691"/>
    <w:rsid w:val="00C3083F"/>
    <w:rsid w:val="00C30CAB"/>
    <w:rsid w:val="00C317BD"/>
    <w:rsid w:val="00C31F6E"/>
    <w:rsid w:val="00C33684"/>
    <w:rsid w:val="00C340E1"/>
    <w:rsid w:val="00C35260"/>
    <w:rsid w:val="00C355D8"/>
    <w:rsid w:val="00C36613"/>
    <w:rsid w:val="00C36A1E"/>
    <w:rsid w:val="00C3755F"/>
    <w:rsid w:val="00C401DB"/>
    <w:rsid w:val="00C42AC6"/>
    <w:rsid w:val="00C42CC5"/>
    <w:rsid w:val="00C4359B"/>
    <w:rsid w:val="00C44187"/>
    <w:rsid w:val="00C453CA"/>
    <w:rsid w:val="00C50251"/>
    <w:rsid w:val="00C52410"/>
    <w:rsid w:val="00C52D52"/>
    <w:rsid w:val="00C52F79"/>
    <w:rsid w:val="00C52FFB"/>
    <w:rsid w:val="00C541DF"/>
    <w:rsid w:val="00C55BB0"/>
    <w:rsid w:val="00C563DA"/>
    <w:rsid w:val="00C6058A"/>
    <w:rsid w:val="00C61D7F"/>
    <w:rsid w:val="00C644E8"/>
    <w:rsid w:val="00C64F2A"/>
    <w:rsid w:val="00C67F18"/>
    <w:rsid w:val="00C70692"/>
    <w:rsid w:val="00C709C9"/>
    <w:rsid w:val="00C74624"/>
    <w:rsid w:val="00C7467C"/>
    <w:rsid w:val="00C7477A"/>
    <w:rsid w:val="00C82706"/>
    <w:rsid w:val="00C82A59"/>
    <w:rsid w:val="00C82A62"/>
    <w:rsid w:val="00C83B74"/>
    <w:rsid w:val="00C83EBC"/>
    <w:rsid w:val="00C87016"/>
    <w:rsid w:val="00C87017"/>
    <w:rsid w:val="00C8752A"/>
    <w:rsid w:val="00C87C09"/>
    <w:rsid w:val="00C90EC0"/>
    <w:rsid w:val="00C91C6A"/>
    <w:rsid w:val="00C92F15"/>
    <w:rsid w:val="00C93119"/>
    <w:rsid w:val="00C95248"/>
    <w:rsid w:val="00C95CB5"/>
    <w:rsid w:val="00C95E4E"/>
    <w:rsid w:val="00C95EDC"/>
    <w:rsid w:val="00C96108"/>
    <w:rsid w:val="00C97029"/>
    <w:rsid w:val="00C9717D"/>
    <w:rsid w:val="00C97429"/>
    <w:rsid w:val="00CA0A36"/>
    <w:rsid w:val="00CA0B80"/>
    <w:rsid w:val="00CA13B1"/>
    <w:rsid w:val="00CA2945"/>
    <w:rsid w:val="00CA2DE9"/>
    <w:rsid w:val="00CA2E69"/>
    <w:rsid w:val="00CA302F"/>
    <w:rsid w:val="00CA3B94"/>
    <w:rsid w:val="00CA60AE"/>
    <w:rsid w:val="00CA6A76"/>
    <w:rsid w:val="00CA7707"/>
    <w:rsid w:val="00CB0D81"/>
    <w:rsid w:val="00CB14C6"/>
    <w:rsid w:val="00CB2C07"/>
    <w:rsid w:val="00CB399B"/>
    <w:rsid w:val="00CB5CC5"/>
    <w:rsid w:val="00CB5D8C"/>
    <w:rsid w:val="00CB6128"/>
    <w:rsid w:val="00CB63E6"/>
    <w:rsid w:val="00CB78CF"/>
    <w:rsid w:val="00CB7F3D"/>
    <w:rsid w:val="00CC1086"/>
    <w:rsid w:val="00CC1A1D"/>
    <w:rsid w:val="00CC1C33"/>
    <w:rsid w:val="00CC283E"/>
    <w:rsid w:val="00CC2DD1"/>
    <w:rsid w:val="00CC44E1"/>
    <w:rsid w:val="00CC52F1"/>
    <w:rsid w:val="00CC59CB"/>
    <w:rsid w:val="00CC7632"/>
    <w:rsid w:val="00CC792A"/>
    <w:rsid w:val="00CD1DF0"/>
    <w:rsid w:val="00CD24C7"/>
    <w:rsid w:val="00CD2FE3"/>
    <w:rsid w:val="00CD3F8F"/>
    <w:rsid w:val="00CD4B5B"/>
    <w:rsid w:val="00CD5893"/>
    <w:rsid w:val="00CD63BE"/>
    <w:rsid w:val="00CD68B7"/>
    <w:rsid w:val="00CD7B3C"/>
    <w:rsid w:val="00CD7D80"/>
    <w:rsid w:val="00CD7E5D"/>
    <w:rsid w:val="00CE0E1C"/>
    <w:rsid w:val="00CE1B42"/>
    <w:rsid w:val="00CE5873"/>
    <w:rsid w:val="00CF13F0"/>
    <w:rsid w:val="00CF14E7"/>
    <w:rsid w:val="00CF3F9F"/>
    <w:rsid w:val="00CF57D1"/>
    <w:rsid w:val="00CF6310"/>
    <w:rsid w:val="00D0135E"/>
    <w:rsid w:val="00D0163C"/>
    <w:rsid w:val="00D02360"/>
    <w:rsid w:val="00D02D1B"/>
    <w:rsid w:val="00D0431C"/>
    <w:rsid w:val="00D0446D"/>
    <w:rsid w:val="00D04DEE"/>
    <w:rsid w:val="00D050E6"/>
    <w:rsid w:val="00D07407"/>
    <w:rsid w:val="00D07D6B"/>
    <w:rsid w:val="00D1025E"/>
    <w:rsid w:val="00D105A4"/>
    <w:rsid w:val="00D10F62"/>
    <w:rsid w:val="00D111F9"/>
    <w:rsid w:val="00D125AA"/>
    <w:rsid w:val="00D14746"/>
    <w:rsid w:val="00D151B2"/>
    <w:rsid w:val="00D15DF7"/>
    <w:rsid w:val="00D17B1D"/>
    <w:rsid w:val="00D20D36"/>
    <w:rsid w:val="00D223AB"/>
    <w:rsid w:val="00D2280F"/>
    <w:rsid w:val="00D22E25"/>
    <w:rsid w:val="00D232BB"/>
    <w:rsid w:val="00D23658"/>
    <w:rsid w:val="00D26858"/>
    <w:rsid w:val="00D27FF6"/>
    <w:rsid w:val="00D31089"/>
    <w:rsid w:val="00D31935"/>
    <w:rsid w:val="00D3279E"/>
    <w:rsid w:val="00D337A8"/>
    <w:rsid w:val="00D339E7"/>
    <w:rsid w:val="00D353B6"/>
    <w:rsid w:val="00D406B6"/>
    <w:rsid w:val="00D412A4"/>
    <w:rsid w:val="00D41EF1"/>
    <w:rsid w:val="00D4305F"/>
    <w:rsid w:val="00D440B2"/>
    <w:rsid w:val="00D4437B"/>
    <w:rsid w:val="00D44AD4"/>
    <w:rsid w:val="00D45375"/>
    <w:rsid w:val="00D4548E"/>
    <w:rsid w:val="00D46D9A"/>
    <w:rsid w:val="00D47A86"/>
    <w:rsid w:val="00D50962"/>
    <w:rsid w:val="00D50E02"/>
    <w:rsid w:val="00D51945"/>
    <w:rsid w:val="00D51A79"/>
    <w:rsid w:val="00D5234C"/>
    <w:rsid w:val="00D53996"/>
    <w:rsid w:val="00D53C0D"/>
    <w:rsid w:val="00D53DD9"/>
    <w:rsid w:val="00D5506A"/>
    <w:rsid w:val="00D558D4"/>
    <w:rsid w:val="00D568D5"/>
    <w:rsid w:val="00D56EC7"/>
    <w:rsid w:val="00D61C52"/>
    <w:rsid w:val="00D621DB"/>
    <w:rsid w:val="00D62EAF"/>
    <w:rsid w:val="00D636DA"/>
    <w:rsid w:val="00D63869"/>
    <w:rsid w:val="00D639C6"/>
    <w:rsid w:val="00D65B4D"/>
    <w:rsid w:val="00D65EE9"/>
    <w:rsid w:val="00D65FAE"/>
    <w:rsid w:val="00D66059"/>
    <w:rsid w:val="00D66254"/>
    <w:rsid w:val="00D66A92"/>
    <w:rsid w:val="00D672B7"/>
    <w:rsid w:val="00D676A6"/>
    <w:rsid w:val="00D70818"/>
    <w:rsid w:val="00D70FFB"/>
    <w:rsid w:val="00D71190"/>
    <w:rsid w:val="00D7136A"/>
    <w:rsid w:val="00D71CE0"/>
    <w:rsid w:val="00D721AE"/>
    <w:rsid w:val="00D7224A"/>
    <w:rsid w:val="00D72BDE"/>
    <w:rsid w:val="00D733A5"/>
    <w:rsid w:val="00D74192"/>
    <w:rsid w:val="00D75577"/>
    <w:rsid w:val="00D75CE7"/>
    <w:rsid w:val="00D80814"/>
    <w:rsid w:val="00D81723"/>
    <w:rsid w:val="00D8217D"/>
    <w:rsid w:val="00D825C6"/>
    <w:rsid w:val="00D82A4B"/>
    <w:rsid w:val="00D83907"/>
    <w:rsid w:val="00D84222"/>
    <w:rsid w:val="00D84AC0"/>
    <w:rsid w:val="00D85693"/>
    <w:rsid w:val="00D86B02"/>
    <w:rsid w:val="00D87332"/>
    <w:rsid w:val="00D907AE"/>
    <w:rsid w:val="00D90CB1"/>
    <w:rsid w:val="00D9157D"/>
    <w:rsid w:val="00D92432"/>
    <w:rsid w:val="00D930B8"/>
    <w:rsid w:val="00D93747"/>
    <w:rsid w:val="00D943C4"/>
    <w:rsid w:val="00D94546"/>
    <w:rsid w:val="00D962EA"/>
    <w:rsid w:val="00D9647E"/>
    <w:rsid w:val="00D96BBA"/>
    <w:rsid w:val="00D975BC"/>
    <w:rsid w:val="00D97E54"/>
    <w:rsid w:val="00DA034F"/>
    <w:rsid w:val="00DA0719"/>
    <w:rsid w:val="00DA1500"/>
    <w:rsid w:val="00DA2EE4"/>
    <w:rsid w:val="00DA3582"/>
    <w:rsid w:val="00DA44F1"/>
    <w:rsid w:val="00DA5769"/>
    <w:rsid w:val="00DA59B1"/>
    <w:rsid w:val="00DA6B0D"/>
    <w:rsid w:val="00DB0259"/>
    <w:rsid w:val="00DB07B7"/>
    <w:rsid w:val="00DB1161"/>
    <w:rsid w:val="00DB2061"/>
    <w:rsid w:val="00DB31AB"/>
    <w:rsid w:val="00DB3B2C"/>
    <w:rsid w:val="00DB3E90"/>
    <w:rsid w:val="00DB45FF"/>
    <w:rsid w:val="00DB618B"/>
    <w:rsid w:val="00DB6941"/>
    <w:rsid w:val="00DB6A22"/>
    <w:rsid w:val="00DB6B1B"/>
    <w:rsid w:val="00DB74D1"/>
    <w:rsid w:val="00DB79FD"/>
    <w:rsid w:val="00DB7C9F"/>
    <w:rsid w:val="00DC0303"/>
    <w:rsid w:val="00DC15D6"/>
    <w:rsid w:val="00DC6BB7"/>
    <w:rsid w:val="00DC7212"/>
    <w:rsid w:val="00DC7C2F"/>
    <w:rsid w:val="00DD0EB9"/>
    <w:rsid w:val="00DD100F"/>
    <w:rsid w:val="00DD10BA"/>
    <w:rsid w:val="00DD2A3A"/>
    <w:rsid w:val="00DD399E"/>
    <w:rsid w:val="00DD3B2C"/>
    <w:rsid w:val="00DD49F6"/>
    <w:rsid w:val="00DD49F9"/>
    <w:rsid w:val="00DD579C"/>
    <w:rsid w:val="00DD57EA"/>
    <w:rsid w:val="00DD619A"/>
    <w:rsid w:val="00DD6585"/>
    <w:rsid w:val="00DE080A"/>
    <w:rsid w:val="00DE28AA"/>
    <w:rsid w:val="00DE2D17"/>
    <w:rsid w:val="00DE47B3"/>
    <w:rsid w:val="00DE4AD6"/>
    <w:rsid w:val="00DE4C84"/>
    <w:rsid w:val="00DE4FFC"/>
    <w:rsid w:val="00DE507C"/>
    <w:rsid w:val="00DE5865"/>
    <w:rsid w:val="00DE6C1C"/>
    <w:rsid w:val="00DE7D04"/>
    <w:rsid w:val="00DF081D"/>
    <w:rsid w:val="00DF0AAB"/>
    <w:rsid w:val="00DF12D7"/>
    <w:rsid w:val="00DF138A"/>
    <w:rsid w:val="00DF2023"/>
    <w:rsid w:val="00DF2B45"/>
    <w:rsid w:val="00DF2CBB"/>
    <w:rsid w:val="00DF341B"/>
    <w:rsid w:val="00DF3B5B"/>
    <w:rsid w:val="00DF405D"/>
    <w:rsid w:val="00DF6275"/>
    <w:rsid w:val="00DF6567"/>
    <w:rsid w:val="00DF6EBD"/>
    <w:rsid w:val="00DF71C8"/>
    <w:rsid w:val="00DF76EB"/>
    <w:rsid w:val="00DF7A02"/>
    <w:rsid w:val="00DF7C6D"/>
    <w:rsid w:val="00E00839"/>
    <w:rsid w:val="00E01528"/>
    <w:rsid w:val="00E0213D"/>
    <w:rsid w:val="00E04317"/>
    <w:rsid w:val="00E043ED"/>
    <w:rsid w:val="00E04FEC"/>
    <w:rsid w:val="00E0695F"/>
    <w:rsid w:val="00E10961"/>
    <w:rsid w:val="00E10A94"/>
    <w:rsid w:val="00E10DA6"/>
    <w:rsid w:val="00E1161A"/>
    <w:rsid w:val="00E134F2"/>
    <w:rsid w:val="00E13B23"/>
    <w:rsid w:val="00E13D5D"/>
    <w:rsid w:val="00E1411A"/>
    <w:rsid w:val="00E14E3A"/>
    <w:rsid w:val="00E15F22"/>
    <w:rsid w:val="00E16007"/>
    <w:rsid w:val="00E16886"/>
    <w:rsid w:val="00E16CD5"/>
    <w:rsid w:val="00E17518"/>
    <w:rsid w:val="00E200AF"/>
    <w:rsid w:val="00E20477"/>
    <w:rsid w:val="00E20C21"/>
    <w:rsid w:val="00E219C8"/>
    <w:rsid w:val="00E236DD"/>
    <w:rsid w:val="00E263F0"/>
    <w:rsid w:val="00E2678C"/>
    <w:rsid w:val="00E272C2"/>
    <w:rsid w:val="00E27A71"/>
    <w:rsid w:val="00E306EA"/>
    <w:rsid w:val="00E31AE0"/>
    <w:rsid w:val="00E32312"/>
    <w:rsid w:val="00E336EB"/>
    <w:rsid w:val="00E3662B"/>
    <w:rsid w:val="00E401D2"/>
    <w:rsid w:val="00E41391"/>
    <w:rsid w:val="00E4156B"/>
    <w:rsid w:val="00E420F3"/>
    <w:rsid w:val="00E42E3C"/>
    <w:rsid w:val="00E43012"/>
    <w:rsid w:val="00E445F6"/>
    <w:rsid w:val="00E44A79"/>
    <w:rsid w:val="00E44FFD"/>
    <w:rsid w:val="00E45229"/>
    <w:rsid w:val="00E47A50"/>
    <w:rsid w:val="00E47DC8"/>
    <w:rsid w:val="00E5039C"/>
    <w:rsid w:val="00E515BC"/>
    <w:rsid w:val="00E51C07"/>
    <w:rsid w:val="00E5218D"/>
    <w:rsid w:val="00E5368B"/>
    <w:rsid w:val="00E54255"/>
    <w:rsid w:val="00E54913"/>
    <w:rsid w:val="00E5497E"/>
    <w:rsid w:val="00E549D0"/>
    <w:rsid w:val="00E54CB6"/>
    <w:rsid w:val="00E55E89"/>
    <w:rsid w:val="00E562E9"/>
    <w:rsid w:val="00E56B7C"/>
    <w:rsid w:val="00E56CB4"/>
    <w:rsid w:val="00E579BA"/>
    <w:rsid w:val="00E6013A"/>
    <w:rsid w:val="00E61AEB"/>
    <w:rsid w:val="00E620F4"/>
    <w:rsid w:val="00E62C9D"/>
    <w:rsid w:val="00E65702"/>
    <w:rsid w:val="00E65EC3"/>
    <w:rsid w:val="00E65FA5"/>
    <w:rsid w:val="00E65FE6"/>
    <w:rsid w:val="00E66829"/>
    <w:rsid w:val="00E7106F"/>
    <w:rsid w:val="00E711DF"/>
    <w:rsid w:val="00E7152D"/>
    <w:rsid w:val="00E71AE3"/>
    <w:rsid w:val="00E71CA3"/>
    <w:rsid w:val="00E72BB1"/>
    <w:rsid w:val="00E72C52"/>
    <w:rsid w:val="00E72F11"/>
    <w:rsid w:val="00E73448"/>
    <w:rsid w:val="00E7391A"/>
    <w:rsid w:val="00E73A4D"/>
    <w:rsid w:val="00E7425D"/>
    <w:rsid w:val="00E74427"/>
    <w:rsid w:val="00E75EDD"/>
    <w:rsid w:val="00E762CD"/>
    <w:rsid w:val="00E76583"/>
    <w:rsid w:val="00E76C43"/>
    <w:rsid w:val="00E76C6E"/>
    <w:rsid w:val="00E77C4C"/>
    <w:rsid w:val="00E77FDD"/>
    <w:rsid w:val="00E80B91"/>
    <w:rsid w:val="00E828D0"/>
    <w:rsid w:val="00E8388E"/>
    <w:rsid w:val="00E83C96"/>
    <w:rsid w:val="00E87735"/>
    <w:rsid w:val="00E901BB"/>
    <w:rsid w:val="00E907F2"/>
    <w:rsid w:val="00E91409"/>
    <w:rsid w:val="00E9144C"/>
    <w:rsid w:val="00E91A3E"/>
    <w:rsid w:val="00E9218C"/>
    <w:rsid w:val="00E93691"/>
    <w:rsid w:val="00E94AB9"/>
    <w:rsid w:val="00E94F0D"/>
    <w:rsid w:val="00E95C81"/>
    <w:rsid w:val="00E95F24"/>
    <w:rsid w:val="00E96F5F"/>
    <w:rsid w:val="00E97492"/>
    <w:rsid w:val="00E979D5"/>
    <w:rsid w:val="00E97F21"/>
    <w:rsid w:val="00EA011C"/>
    <w:rsid w:val="00EA199E"/>
    <w:rsid w:val="00EA245F"/>
    <w:rsid w:val="00EA47C5"/>
    <w:rsid w:val="00EA556F"/>
    <w:rsid w:val="00EA5D7A"/>
    <w:rsid w:val="00EA717E"/>
    <w:rsid w:val="00EA7B76"/>
    <w:rsid w:val="00EB00A1"/>
    <w:rsid w:val="00EB2906"/>
    <w:rsid w:val="00EB2AA1"/>
    <w:rsid w:val="00EB36B4"/>
    <w:rsid w:val="00EB407E"/>
    <w:rsid w:val="00EB416C"/>
    <w:rsid w:val="00EB5750"/>
    <w:rsid w:val="00EB5BB6"/>
    <w:rsid w:val="00EB62FE"/>
    <w:rsid w:val="00EB6AAA"/>
    <w:rsid w:val="00EC0E29"/>
    <w:rsid w:val="00EC2250"/>
    <w:rsid w:val="00EC3831"/>
    <w:rsid w:val="00EC3E8A"/>
    <w:rsid w:val="00EC4018"/>
    <w:rsid w:val="00EC4AF7"/>
    <w:rsid w:val="00EC6633"/>
    <w:rsid w:val="00EC6FA8"/>
    <w:rsid w:val="00EC7F56"/>
    <w:rsid w:val="00ED0068"/>
    <w:rsid w:val="00ED1207"/>
    <w:rsid w:val="00ED16E4"/>
    <w:rsid w:val="00ED3A04"/>
    <w:rsid w:val="00ED41C5"/>
    <w:rsid w:val="00ED430E"/>
    <w:rsid w:val="00ED5AEA"/>
    <w:rsid w:val="00ED5D2E"/>
    <w:rsid w:val="00ED6E6A"/>
    <w:rsid w:val="00ED774F"/>
    <w:rsid w:val="00EE007A"/>
    <w:rsid w:val="00EE0AA7"/>
    <w:rsid w:val="00EE1CCC"/>
    <w:rsid w:val="00EE22D4"/>
    <w:rsid w:val="00EE36DF"/>
    <w:rsid w:val="00EE37F1"/>
    <w:rsid w:val="00EE3A66"/>
    <w:rsid w:val="00EE3B18"/>
    <w:rsid w:val="00EE44EE"/>
    <w:rsid w:val="00EE47B8"/>
    <w:rsid w:val="00EE4CDF"/>
    <w:rsid w:val="00EE4FEA"/>
    <w:rsid w:val="00EE7112"/>
    <w:rsid w:val="00EE7CD1"/>
    <w:rsid w:val="00EF10D6"/>
    <w:rsid w:val="00EF2866"/>
    <w:rsid w:val="00EF327A"/>
    <w:rsid w:val="00EF3550"/>
    <w:rsid w:val="00EF3B7E"/>
    <w:rsid w:val="00EF3DF0"/>
    <w:rsid w:val="00EF44AB"/>
    <w:rsid w:val="00EF472C"/>
    <w:rsid w:val="00EF48BD"/>
    <w:rsid w:val="00EF5973"/>
    <w:rsid w:val="00EF5B80"/>
    <w:rsid w:val="00EF5C44"/>
    <w:rsid w:val="00EF7122"/>
    <w:rsid w:val="00EF7421"/>
    <w:rsid w:val="00EF7523"/>
    <w:rsid w:val="00EF7804"/>
    <w:rsid w:val="00EF786D"/>
    <w:rsid w:val="00EF7C2C"/>
    <w:rsid w:val="00F0266D"/>
    <w:rsid w:val="00F02D82"/>
    <w:rsid w:val="00F02FFD"/>
    <w:rsid w:val="00F045A5"/>
    <w:rsid w:val="00F0581A"/>
    <w:rsid w:val="00F06B34"/>
    <w:rsid w:val="00F0730A"/>
    <w:rsid w:val="00F07CFC"/>
    <w:rsid w:val="00F10055"/>
    <w:rsid w:val="00F152AE"/>
    <w:rsid w:val="00F153D1"/>
    <w:rsid w:val="00F16C58"/>
    <w:rsid w:val="00F21166"/>
    <w:rsid w:val="00F222D3"/>
    <w:rsid w:val="00F23E23"/>
    <w:rsid w:val="00F24293"/>
    <w:rsid w:val="00F24529"/>
    <w:rsid w:val="00F24602"/>
    <w:rsid w:val="00F25295"/>
    <w:rsid w:val="00F26307"/>
    <w:rsid w:val="00F26FBB"/>
    <w:rsid w:val="00F273F6"/>
    <w:rsid w:val="00F27D5A"/>
    <w:rsid w:val="00F31139"/>
    <w:rsid w:val="00F31F75"/>
    <w:rsid w:val="00F325B1"/>
    <w:rsid w:val="00F33010"/>
    <w:rsid w:val="00F33198"/>
    <w:rsid w:val="00F33874"/>
    <w:rsid w:val="00F344BF"/>
    <w:rsid w:val="00F34857"/>
    <w:rsid w:val="00F34C8F"/>
    <w:rsid w:val="00F35044"/>
    <w:rsid w:val="00F353A6"/>
    <w:rsid w:val="00F35881"/>
    <w:rsid w:val="00F35A5B"/>
    <w:rsid w:val="00F37A1E"/>
    <w:rsid w:val="00F4071A"/>
    <w:rsid w:val="00F40DBC"/>
    <w:rsid w:val="00F4124D"/>
    <w:rsid w:val="00F41F01"/>
    <w:rsid w:val="00F43977"/>
    <w:rsid w:val="00F43C57"/>
    <w:rsid w:val="00F44A8E"/>
    <w:rsid w:val="00F45939"/>
    <w:rsid w:val="00F45E29"/>
    <w:rsid w:val="00F474E0"/>
    <w:rsid w:val="00F5101A"/>
    <w:rsid w:val="00F51FAD"/>
    <w:rsid w:val="00F5270A"/>
    <w:rsid w:val="00F52A24"/>
    <w:rsid w:val="00F52DB8"/>
    <w:rsid w:val="00F5453D"/>
    <w:rsid w:val="00F547E8"/>
    <w:rsid w:val="00F56CDD"/>
    <w:rsid w:val="00F600AE"/>
    <w:rsid w:val="00F6017C"/>
    <w:rsid w:val="00F60DD4"/>
    <w:rsid w:val="00F60E55"/>
    <w:rsid w:val="00F60F22"/>
    <w:rsid w:val="00F618CC"/>
    <w:rsid w:val="00F61B4E"/>
    <w:rsid w:val="00F61C58"/>
    <w:rsid w:val="00F63529"/>
    <w:rsid w:val="00F63DD9"/>
    <w:rsid w:val="00F7048F"/>
    <w:rsid w:val="00F70C15"/>
    <w:rsid w:val="00F70D0E"/>
    <w:rsid w:val="00F71527"/>
    <w:rsid w:val="00F725EF"/>
    <w:rsid w:val="00F73787"/>
    <w:rsid w:val="00F739A9"/>
    <w:rsid w:val="00F73ACC"/>
    <w:rsid w:val="00F7554D"/>
    <w:rsid w:val="00F75BE5"/>
    <w:rsid w:val="00F761B1"/>
    <w:rsid w:val="00F7762A"/>
    <w:rsid w:val="00F80D78"/>
    <w:rsid w:val="00F8157C"/>
    <w:rsid w:val="00F81E5B"/>
    <w:rsid w:val="00F843EB"/>
    <w:rsid w:val="00F8506D"/>
    <w:rsid w:val="00F8556F"/>
    <w:rsid w:val="00F85FA8"/>
    <w:rsid w:val="00F8657F"/>
    <w:rsid w:val="00F86815"/>
    <w:rsid w:val="00F86B59"/>
    <w:rsid w:val="00F86BA5"/>
    <w:rsid w:val="00F90F53"/>
    <w:rsid w:val="00F91278"/>
    <w:rsid w:val="00F926F1"/>
    <w:rsid w:val="00F92993"/>
    <w:rsid w:val="00F92EA8"/>
    <w:rsid w:val="00F93369"/>
    <w:rsid w:val="00F94D0C"/>
    <w:rsid w:val="00F95C68"/>
    <w:rsid w:val="00F95E65"/>
    <w:rsid w:val="00F963CF"/>
    <w:rsid w:val="00F9756F"/>
    <w:rsid w:val="00F97B9C"/>
    <w:rsid w:val="00FA035F"/>
    <w:rsid w:val="00FA0906"/>
    <w:rsid w:val="00FA10C5"/>
    <w:rsid w:val="00FA225D"/>
    <w:rsid w:val="00FA39D5"/>
    <w:rsid w:val="00FA3A2E"/>
    <w:rsid w:val="00FA42AD"/>
    <w:rsid w:val="00FA4651"/>
    <w:rsid w:val="00FA5AFF"/>
    <w:rsid w:val="00FA6989"/>
    <w:rsid w:val="00FB0BF3"/>
    <w:rsid w:val="00FB15C2"/>
    <w:rsid w:val="00FB2D74"/>
    <w:rsid w:val="00FB307C"/>
    <w:rsid w:val="00FB45D0"/>
    <w:rsid w:val="00FB5507"/>
    <w:rsid w:val="00FB5BF0"/>
    <w:rsid w:val="00FB6031"/>
    <w:rsid w:val="00FB7BE3"/>
    <w:rsid w:val="00FC077E"/>
    <w:rsid w:val="00FC0DA8"/>
    <w:rsid w:val="00FC1508"/>
    <w:rsid w:val="00FC1A14"/>
    <w:rsid w:val="00FC2C17"/>
    <w:rsid w:val="00FC33B5"/>
    <w:rsid w:val="00FC72E9"/>
    <w:rsid w:val="00FD17DB"/>
    <w:rsid w:val="00FD2D1F"/>
    <w:rsid w:val="00FD38CD"/>
    <w:rsid w:val="00FD3A31"/>
    <w:rsid w:val="00FD3F6A"/>
    <w:rsid w:val="00FD3FEC"/>
    <w:rsid w:val="00FD4746"/>
    <w:rsid w:val="00FD5C28"/>
    <w:rsid w:val="00FD60AE"/>
    <w:rsid w:val="00FD6C0E"/>
    <w:rsid w:val="00FD6DD0"/>
    <w:rsid w:val="00FD7857"/>
    <w:rsid w:val="00FE08A0"/>
    <w:rsid w:val="00FE1A3B"/>
    <w:rsid w:val="00FE1A3E"/>
    <w:rsid w:val="00FE2F51"/>
    <w:rsid w:val="00FE3619"/>
    <w:rsid w:val="00FE3DB8"/>
    <w:rsid w:val="00FE4024"/>
    <w:rsid w:val="00FE423B"/>
    <w:rsid w:val="00FE46B3"/>
    <w:rsid w:val="00FE48FC"/>
    <w:rsid w:val="00FE565F"/>
    <w:rsid w:val="00FE640A"/>
    <w:rsid w:val="00FE7B9C"/>
    <w:rsid w:val="00FE7BFD"/>
    <w:rsid w:val="00FE7FF6"/>
    <w:rsid w:val="00FF06C0"/>
    <w:rsid w:val="00FF0DE4"/>
    <w:rsid w:val="00FF1767"/>
    <w:rsid w:val="00FF20F3"/>
    <w:rsid w:val="00FF3E1E"/>
    <w:rsid w:val="00FF3E21"/>
    <w:rsid w:val="00FF4908"/>
    <w:rsid w:val="00FF4B3D"/>
    <w:rsid w:val="00FF65DC"/>
    <w:rsid w:val="00FF6799"/>
    <w:rsid w:val="00FF751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5029AD4"/>
  <w15:docId w15:val="{40A472DB-3B3B-4170-8E35-47948F585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style>
  <w:style w:type="paragraph" w:styleId="Heading1">
    <w:name w:val="heading 1"/>
    <w:basedOn w:val="Normal"/>
    <w:next w:val="Normal"/>
    <w:link w:val="Heading1Char"/>
    <w:uiPriority w:val="99"/>
    <w:qFormat/>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locked/>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color w:val="365F91"/>
      <w:sz w:val="28"/>
      <w:szCs w:val="28"/>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paragraph" w:styleId="TOC1">
    <w:name w:val="toc 1"/>
    <w:basedOn w:val="Normal"/>
    <w:next w:val="Normal"/>
    <w:autoRedefine/>
    <w:uiPriority w:val="99"/>
    <w:pPr>
      <w:spacing w:after="100"/>
    </w:pPr>
  </w:style>
  <w:style w:type="character" w:styleId="Hyperlink">
    <w:name w:val="Hyperlink"/>
    <w:basedOn w:val="DefaultParagraphFont"/>
    <w:uiPriority w:val="99"/>
    <w:rPr>
      <w:rFonts w:cs="Times New Roman"/>
      <w:color w:val="0000FF"/>
      <w:u w:val="single"/>
    </w:rPr>
  </w:style>
  <w:style w:type="table" w:styleId="TableGrid">
    <w:name w:val="Table Grid"/>
    <w:basedOn w:val="TableNormal"/>
    <w:uiPriority w:val="99"/>
    <w:locked/>
    <w:pPr>
      <w:spacing w:after="200" w:line="276" w:lineRule="auto"/>
    </w:pPr>
    <w:rPr>
      <w:rFonts w:eastAsia="Times New Roman"/>
      <w:sz w:val="20"/>
      <w:szCs w:val="20"/>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99"/>
    <w:qFormat/>
    <w:locked/>
    <w:pPr>
      <w:spacing w:after="0" w:line="240" w:lineRule="auto"/>
    </w:pPr>
    <w:rPr>
      <w:rFonts w:ascii="Times New Roman" w:hAnsi="Times New Roman"/>
      <w:b/>
      <w:bCs/>
      <w:sz w:val="20"/>
      <w:szCs w:val="20"/>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rPr>
  </w:style>
  <w:style w:type="character" w:styleId="PageNumber">
    <w:name w:val="page number"/>
    <w:basedOn w:val="DefaultParagraphFont"/>
    <w:uiPriority w:val="99"/>
    <w:rPr>
      <w:rFonts w:cs="Times New Roman"/>
    </w:rPr>
  </w:style>
  <w:style w:type="paragraph" w:styleId="TOC2">
    <w:name w:val="toc 2"/>
    <w:basedOn w:val="Normal"/>
    <w:next w:val="Normal"/>
    <w:autoRedefine/>
    <w:uiPriority w:val="99"/>
    <w:semiHidden/>
    <w:locked/>
    <w:pPr>
      <w:ind w:left="220"/>
    </w:p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imes New Roman" w:hAnsi="Times New Roman" w:cs="Times New Roman"/>
      <w:sz w:val="2"/>
    </w:rPr>
  </w:style>
  <w:style w:type="paragraph" w:styleId="PlainText">
    <w:name w:val="Plain Text"/>
    <w:basedOn w:val="Normal"/>
    <w:link w:val="PlainTextChar"/>
    <w:uiPriority w:val="99"/>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locked/>
    <w:rPr>
      <w:rFonts w:ascii="Consolas" w:hAnsi="Consolas" w:cs="Times New Roman"/>
      <w:sz w:val="21"/>
      <w:szCs w:val="21"/>
      <w:lang w:val="en-US" w:eastAsia="en-US" w:bidi="ar-SA"/>
    </w:rPr>
  </w:style>
  <w:style w:type="character" w:styleId="CommentReference">
    <w:name w:val="annotation reference"/>
    <w:basedOn w:val="DefaultParagraphFont"/>
    <w:uiPriority w:val="99"/>
    <w:semiHidden/>
    <w:rPr>
      <w:rFonts w:cs="Times New Roman"/>
      <w:sz w:val="16"/>
      <w:szCs w:val="16"/>
    </w:rPr>
  </w:style>
  <w:style w:type="paragraph" w:styleId="CommentText">
    <w:name w:val="annotation text"/>
    <w:basedOn w:val="Normal"/>
    <w:link w:val="CommentTextChar"/>
    <w:uiPriority w:val="99"/>
    <w:pPr>
      <w:spacing w:after="0" w:line="240" w:lineRule="auto"/>
      <w:ind w:right="432"/>
    </w:pPr>
    <w:rPr>
      <w:sz w:val="20"/>
      <w:szCs w:val="20"/>
    </w:rPr>
  </w:style>
  <w:style w:type="character" w:customStyle="1" w:styleId="CommentTextChar">
    <w:name w:val="Comment Text Char"/>
    <w:basedOn w:val="DefaultParagraphFont"/>
    <w:link w:val="CommentText"/>
    <w:uiPriority w:val="99"/>
    <w:locked/>
    <w:rPr>
      <w:rFonts w:ascii="Calibri" w:hAnsi="Calibri" w:cs="Times New Roman"/>
      <w:lang w:val="en-US" w:eastAsia="en-US" w:bidi="ar-SA"/>
    </w:rPr>
  </w:style>
  <w:style w:type="paragraph" w:styleId="NoSpacing">
    <w:name w:val="No Spacing"/>
    <w:link w:val="NoSpacingChar"/>
    <w:uiPriority w:val="99"/>
    <w:qFormat/>
    <w:pPr>
      <w:jc w:val="both"/>
    </w:pPr>
  </w:style>
  <w:style w:type="character" w:customStyle="1" w:styleId="NoSpacingChar">
    <w:name w:val="No Spacing Char"/>
    <w:basedOn w:val="DefaultParagraphFont"/>
    <w:link w:val="NoSpacing"/>
    <w:uiPriority w:val="99"/>
    <w:locked/>
    <w:rPr>
      <w:rFonts w:cs="Times New Roman"/>
      <w:sz w:val="22"/>
      <w:szCs w:val="22"/>
      <w:lang w:val="en-US" w:eastAsia="en-US" w:bidi="ar-SA"/>
    </w:rPr>
  </w:style>
  <w:style w:type="character" w:styleId="SubtleEmphasis">
    <w:name w:val="Subtle Emphasis"/>
    <w:basedOn w:val="DefaultParagraphFont"/>
    <w:uiPriority w:val="19"/>
    <w:qFormat/>
    <w:rPr>
      <w:i/>
      <w:iCs/>
      <w:color w:val="808080" w:themeColor="text1" w:themeTint="7F"/>
    </w:rPr>
  </w:style>
  <w:style w:type="paragraph" w:styleId="CommentSubject">
    <w:name w:val="annotation subject"/>
    <w:basedOn w:val="CommentText"/>
    <w:next w:val="CommentText"/>
    <w:link w:val="CommentSubjectChar"/>
    <w:uiPriority w:val="99"/>
    <w:semiHidden/>
    <w:unhideWhenUsed/>
    <w:pPr>
      <w:spacing w:after="200"/>
      <w:ind w:right="0"/>
    </w:pPr>
    <w:rPr>
      <w:b/>
      <w:bCs/>
    </w:rPr>
  </w:style>
  <w:style w:type="character" w:customStyle="1" w:styleId="CommentSubjectChar">
    <w:name w:val="Comment Subject Char"/>
    <w:basedOn w:val="CommentTextChar"/>
    <w:link w:val="CommentSubject"/>
    <w:uiPriority w:val="99"/>
    <w:semiHidden/>
    <w:rPr>
      <w:rFonts w:ascii="Calibri" w:hAnsi="Calibri" w:cs="Times New Roman"/>
      <w:b/>
      <w:bCs/>
      <w:sz w:val="20"/>
      <w:szCs w:val="20"/>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956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s30:Sources xmlns:w="http://schemas.openxmlformats.org/wordprocessingml/2006/main" xmlns:r="http://schemas.openxmlformats.org/officeDocument/2006/relationships" xmlns:m="http://schemas.openxmlformats.org/officeDocument/2006/math" xmlns:ns4="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fth Edition"/>
</file>

<file path=customXml/itemProps1.xml><?xml version="1.0" encoding="utf-8"?>
<ds:datastoreItem xmlns:ds="http://schemas.openxmlformats.org/officeDocument/2006/customXml" ds:itemID="{202FD977-E322-4E78-9143-EFB1964C7107}">
  <ds:schemaRefs>
    <ds:schemaRef ds:uri="http://schemas.openxmlformats.org/wordprocessingml/2006/main"/>
    <ds:schemaRef ds:uri="http://schemas.openxmlformats.org/officeDocument/2006/relationships"/>
    <ds:schemaRef ds:uri="http://schemas.openxmlformats.org/officeDocument/2006/math"/>
    <ds:schemaRef ds:uri="http://schemas.openxmlformats.org/schemaLibrary/2006/main"/>
    <ds:schemaRef ds:uri="http://schemas.microsoft.com/office/word/2012/wordml"/>
    <ds:schemaRef ds:uri="http://schemas.microsoft.com/office/word/2010/wordml"/>
    <ds:schemaRef ds:uri="http://schemas.openxmlformats.org/markup-compatibility/2006"/>
    <ds:schemaRef ds:uri="http://schemas.openxmlformats.org/drawingml/2006/wordprocessingDrawing"/>
    <ds:schemaRef ds:uri="http://schemas.openxmlformats.org/drawingml/2006/main"/>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7501</Words>
  <Characters>42758</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Here is some text</vt:lpstr>
    </vt:vector>
  </TitlesOfParts>
  <Company>Microsoft</Company>
  <LinksUpToDate>false</LinksUpToDate>
  <CharactersWithSpaces>50159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Here is some text</dc:title>
  <dc:creator>Rocio</dc:creator>
  <cp:lastModifiedBy>Tomika Hedrington</cp:lastModifiedBy>
  <cp:revision>2</cp:revision>
  <dcterms:created xsi:type="dcterms:W3CDTF">2023-07-12T16:39:00Z</dcterms:created>
  <dcterms:modified xsi:type="dcterms:W3CDTF">2023-07-12T16:39:00Z</dcterms:modified>
</cp:coreProperties>
</file>